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AFC9E" w14:textId="77777777" w:rsidR="00125B05" w:rsidRDefault="00541CC2">
      <w:r>
        <w:rPr>
          <w:noProof/>
        </w:rPr>
        <w:drawing>
          <wp:anchor distT="0" distB="0" distL="114300" distR="114300" simplePos="0" relativeHeight="251660288" behindDoc="0" locked="0" layoutInCell="1" allowOverlap="1" wp14:anchorId="286EF32A" wp14:editId="68AF74A6">
            <wp:simplePos x="0" y="0"/>
            <wp:positionH relativeFrom="page">
              <wp:align>left</wp:align>
            </wp:positionH>
            <wp:positionV relativeFrom="paragraph">
              <wp:posOffset>14811</wp:posOffset>
            </wp:positionV>
            <wp:extent cx="7459183" cy="655428"/>
            <wp:effectExtent l="0" t="0" r="0" b="0"/>
            <wp:wrapNone/>
            <wp:docPr id="1818675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r="868" b="85185"/>
                    <a:stretch>
                      <a:fillRect/>
                    </a:stretch>
                  </pic:blipFill>
                  <pic:spPr bwMode="auto">
                    <a:xfrm>
                      <a:off x="0" y="0"/>
                      <a:ext cx="7459183" cy="65542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49F917" w14:textId="77777777" w:rsidR="00EB5323" w:rsidRDefault="00EB5323">
      <w:pPr>
        <w:jc w:val="center"/>
        <w:rPr>
          <w:rFonts w:asciiTheme="minorHAnsi" w:hAnsiTheme="minorHAnsi" w:cstheme="minorHAnsi"/>
          <w:b/>
          <w:bCs/>
          <w:smallCaps/>
          <w:color w:val="0092AF"/>
          <w:spacing w:val="5"/>
          <w:sz w:val="24"/>
          <w:szCs w:val="24"/>
          <w:lang w:val="bs-Latn-BA" w:eastAsia="en-US"/>
        </w:rPr>
      </w:pPr>
    </w:p>
    <w:p w14:paraId="59E5A9F7" w14:textId="77777777" w:rsidR="00EB5323" w:rsidRDefault="00EB5323">
      <w:pPr>
        <w:jc w:val="center"/>
        <w:rPr>
          <w:rFonts w:asciiTheme="minorHAnsi" w:hAnsiTheme="minorHAnsi" w:cstheme="minorHAnsi"/>
          <w:b/>
          <w:bCs/>
          <w:smallCaps/>
          <w:color w:val="0092AF"/>
          <w:spacing w:val="5"/>
          <w:sz w:val="24"/>
          <w:szCs w:val="24"/>
          <w:lang w:val="bs-Latn-BA" w:eastAsia="en-US"/>
        </w:rPr>
      </w:pPr>
    </w:p>
    <w:p w14:paraId="5AB654ED" w14:textId="77777777" w:rsidR="00EB5323" w:rsidRDefault="00EB5323">
      <w:pPr>
        <w:jc w:val="center"/>
        <w:rPr>
          <w:rFonts w:asciiTheme="minorHAnsi" w:hAnsiTheme="minorHAnsi" w:cstheme="minorHAnsi"/>
          <w:b/>
          <w:bCs/>
          <w:smallCaps/>
          <w:color w:val="0092AF"/>
          <w:spacing w:val="5"/>
          <w:sz w:val="24"/>
          <w:szCs w:val="24"/>
          <w:lang w:val="bs-Latn-BA" w:eastAsia="en-US"/>
        </w:rPr>
      </w:pPr>
    </w:p>
    <w:p w14:paraId="1FE4ED07" w14:textId="77777777" w:rsidR="00EB5323" w:rsidRDefault="00EB5323">
      <w:pPr>
        <w:jc w:val="center"/>
        <w:rPr>
          <w:rFonts w:asciiTheme="minorHAnsi" w:hAnsiTheme="minorHAnsi" w:cstheme="minorHAnsi"/>
          <w:b/>
          <w:bCs/>
          <w:smallCaps/>
          <w:color w:val="0092AF"/>
          <w:spacing w:val="5"/>
          <w:sz w:val="24"/>
          <w:szCs w:val="24"/>
          <w:lang w:val="bs-Latn-BA" w:eastAsia="en-US"/>
        </w:rPr>
      </w:pPr>
    </w:p>
    <w:p w14:paraId="2C65F2B8" w14:textId="77777777" w:rsidR="00EB5323" w:rsidRDefault="00EB5323">
      <w:pPr>
        <w:jc w:val="center"/>
        <w:rPr>
          <w:rFonts w:asciiTheme="minorHAnsi" w:hAnsiTheme="minorHAnsi" w:cstheme="minorHAnsi"/>
          <w:b/>
          <w:bCs/>
          <w:smallCaps/>
          <w:color w:val="0092AF"/>
          <w:spacing w:val="5"/>
          <w:sz w:val="24"/>
          <w:szCs w:val="24"/>
          <w:lang w:val="bs-Latn-BA" w:eastAsia="en-US"/>
        </w:rPr>
      </w:pPr>
    </w:p>
    <w:p w14:paraId="5E1D5A21" w14:textId="77777777" w:rsidR="00EB5323" w:rsidRDefault="00EB5323">
      <w:pPr>
        <w:jc w:val="center"/>
        <w:rPr>
          <w:rFonts w:asciiTheme="minorHAnsi" w:hAnsiTheme="minorHAnsi" w:cstheme="minorHAnsi"/>
          <w:b/>
          <w:bCs/>
          <w:smallCaps/>
          <w:color w:val="0092AF"/>
          <w:spacing w:val="5"/>
          <w:sz w:val="24"/>
          <w:szCs w:val="24"/>
          <w:lang w:val="bs-Latn-BA" w:eastAsia="en-US"/>
        </w:rPr>
      </w:pPr>
    </w:p>
    <w:p w14:paraId="2717834D" w14:textId="77777777" w:rsidR="00EB5323" w:rsidRDefault="00EB5323">
      <w:pPr>
        <w:jc w:val="center"/>
        <w:rPr>
          <w:rFonts w:asciiTheme="minorHAnsi" w:hAnsiTheme="minorHAnsi" w:cstheme="minorHAnsi"/>
          <w:b/>
          <w:bCs/>
          <w:smallCaps/>
          <w:color w:val="0092AF"/>
          <w:spacing w:val="5"/>
          <w:sz w:val="24"/>
          <w:szCs w:val="24"/>
          <w:lang w:val="bs-Latn-BA" w:eastAsia="en-US"/>
        </w:rPr>
      </w:pPr>
    </w:p>
    <w:p w14:paraId="4C14D63F" w14:textId="77777777" w:rsidR="00125B05" w:rsidRPr="00E84261" w:rsidRDefault="00F6741A">
      <w:pPr>
        <w:jc w:val="center"/>
        <w:rPr>
          <w:rFonts w:asciiTheme="minorHAnsi" w:hAnsiTheme="minorHAnsi" w:cstheme="minorHAnsi"/>
          <w:b/>
          <w:bCs/>
          <w:smallCaps/>
          <w:color w:val="0092AF"/>
          <w:spacing w:val="5"/>
          <w:sz w:val="24"/>
          <w:szCs w:val="24"/>
          <w:lang w:val="bs-Latn-BA" w:eastAsia="en-US"/>
        </w:rPr>
      </w:pPr>
      <w:r w:rsidRPr="00E84261">
        <w:rPr>
          <w:rFonts w:asciiTheme="minorHAnsi" w:hAnsiTheme="minorHAnsi" w:cstheme="minorHAnsi"/>
          <w:b/>
          <w:bCs/>
          <w:smallCaps/>
          <w:color w:val="0092AF"/>
          <w:spacing w:val="5"/>
          <w:sz w:val="24"/>
          <w:szCs w:val="24"/>
          <w:lang w:val="bs-Latn-BA" w:eastAsia="en-US"/>
        </w:rPr>
        <w:t>A Capacity-Building Workshop for Public Administrations</w:t>
      </w:r>
    </w:p>
    <w:p w14:paraId="566C0E58" w14:textId="6A828152" w:rsidR="00125B05" w:rsidRPr="000F0A14" w:rsidRDefault="00656744" w:rsidP="000F0A14">
      <w:pPr>
        <w:spacing w:after="160" w:line="288" w:lineRule="auto"/>
        <w:ind w:left="752" w:right="901"/>
        <w:jc w:val="center"/>
        <w:rPr>
          <w:rFonts w:asciiTheme="minorHAnsi" w:hAnsiTheme="minorHAnsi" w:cstheme="minorHAnsi"/>
          <w:b/>
          <w:bCs/>
          <w:smallCaps/>
          <w:color w:val="0092AF"/>
          <w:spacing w:val="5"/>
          <w:sz w:val="40"/>
          <w:szCs w:val="40"/>
          <w:lang w:val="bs-Latn-BA" w:eastAsia="en-US"/>
        </w:rPr>
      </w:pPr>
      <w:r w:rsidRPr="009E31A2">
        <w:rPr>
          <w:rFonts w:asciiTheme="minorHAnsi" w:hAnsiTheme="minorHAnsi" w:cstheme="minorHAnsi"/>
          <w:noProof/>
          <w:sz w:val="22"/>
          <w:szCs w:val="22"/>
        </w:rPr>
        <w:drawing>
          <wp:anchor distT="0" distB="0" distL="114300" distR="114300" simplePos="0" relativeHeight="251658240" behindDoc="1" locked="0" layoutInCell="1" allowOverlap="1" wp14:anchorId="4DBD6836" wp14:editId="6058E5AF">
            <wp:simplePos x="0" y="0"/>
            <wp:positionH relativeFrom="page">
              <wp:align>right</wp:align>
            </wp:positionH>
            <wp:positionV relativeFrom="paragraph">
              <wp:posOffset>1036295</wp:posOffset>
            </wp:positionV>
            <wp:extent cx="7581265" cy="7367905"/>
            <wp:effectExtent l="0" t="0" r="635" b="444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wmf"/>
                    <pic:cNvPicPr/>
                  </pic:nvPicPr>
                  <pic:blipFill rotWithShape="1">
                    <a:blip r:embed="rId8" cstate="print">
                      <a:extLst>
                        <a:ext uri="{28A0092B-C50C-407E-A947-70E740481C1C}">
                          <a14:useLocalDpi xmlns:a14="http://schemas.microsoft.com/office/drawing/2010/main" val="0"/>
                        </a:ext>
                      </a:extLst>
                    </a:blip>
                    <a:srcRect t="31544"/>
                    <a:stretch/>
                  </pic:blipFill>
                  <pic:spPr bwMode="auto">
                    <a:xfrm>
                      <a:off x="0" y="0"/>
                      <a:ext cx="7581265" cy="7367905"/>
                    </a:xfrm>
                    <a:prstGeom prst="rect">
                      <a:avLst/>
                    </a:prstGeom>
                    <a:ln>
                      <a:noFill/>
                    </a:ln>
                    <a:extLst>
                      <a:ext uri="{53640926-AAD7-44D8-BBD7-CCE9431645EC}">
                        <a14:shadowObscured xmlns:a14="http://schemas.microsoft.com/office/drawing/2010/main"/>
                      </a:ext>
                    </a:extLst>
                  </pic:spPr>
                </pic:pic>
              </a:graphicData>
            </a:graphic>
          </wp:anchor>
        </w:drawing>
      </w:r>
      <w:r w:rsidR="00F6741A" w:rsidRPr="000F0A14">
        <w:rPr>
          <w:rFonts w:asciiTheme="minorHAnsi" w:hAnsiTheme="minorHAnsi" w:cstheme="minorHAnsi"/>
          <w:b/>
          <w:bCs/>
          <w:smallCaps/>
          <w:color w:val="0092AF"/>
          <w:spacing w:val="5"/>
          <w:sz w:val="40"/>
          <w:szCs w:val="40"/>
          <w:lang w:val="bs-Latn-BA" w:eastAsia="en-US"/>
        </w:rPr>
        <w:t xml:space="preserve">“Smart Investment 4 Strong Governance: </w:t>
      </w:r>
      <w:r w:rsidR="009E79E8">
        <w:rPr>
          <w:rFonts w:asciiTheme="minorHAnsi" w:hAnsiTheme="minorHAnsi" w:cstheme="minorHAnsi"/>
          <w:b/>
          <w:bCs/>
          <w:smallCaps/>
          <w:color w:val="0092AF"/>
          <w:spacing w:val="5"/>
          <w:sz w:val="40"/>
          <w:szCs w:val="40"/>
          <w:lang w:val="bs-Latn-BA" w:eastAsia="en-US"/>
        </w:rPr>
        <w:t xml:space="preserve">Single Project </w:t>
      </w:r>
      <w:r w:rsidR="006A53C9">
        <w:rPr>
          <w:rFonts w:asciiTheme="minorHAnsi" w:hAnsiTheme="minorHAnsi" w:cstheme="minorHAnsi"/>
          <w:b/>
          <w:bCs/>
          <w:smallCaps/>
          <w:color w:val="0092AF"/>
          <w:spacing w:val="5"/>
          <w:sz w:val="40"/>
          <w:szCs w:val="40"/>
          <w:lang w:val="bs-Latn-BA" w:eastAsia="en-US"/>
        </w:rPr>
        <w:t>Pipleine and Delivery</w:t>
      </w:r>
      <w:r w:rsidR="00F6741A" w:rsidRPr="000F0A14">
        <w:rPr>
          <w:rFonts w:asciiTheme="minorHAnsi" w:hAnsiTheme="minorHAnsi" w:cstheme="minorHAnsi"/>
          <w:b/>
          <w:bCs/>
          <w:smallCaps/>
          <w:color w:val="0092AF"/>
          <w:spacing w:val="5"/>
          <w:sz w:val="40"/>
          <w:szCs w:val="40"/>
          <w:lang w:val="bs-Latn-BA" w:eastAsia="en-US"/>
        </w:rPr>
        <w:t>”</w:t>
      </w:r>
    </w:p>
    <w:p w14:paraId="0A6F2F8C" w14:textId="390D4A84" w:rsidR="00EB5323" w:rsidRPr="00656744" w:rsidRDefault="00EB5323" w:rsidP="00B42EE3">
      <w:pPr>
        <w:spacing w:after="160" w:line="288" w:lineRule="auto"/>
        <w:ind w:left="752" w:right="901"/>
        <w:jc w:val="center"/>
        <w:rPr>
          <w:rFonts w:asciiTheme="minorHAnsi" w:hAnsiTheme="minorHAnsi" w:cstheme="minorHAnsi"/>
          <w:b/>
          <w:bCs/>
          <w:smallCaps/>
          <w:color w:val="0092AF"/>
          <w:spacing w:val="5"/>
          <w:sz w:val="40"/>
          <w:szCs w:val="40"/>
          <w:lang w:val="bs-Latn-BA" w:eastAsia="en-US"/>
        </w:rPr>
      </w:pPr>
      <w:r w:rsidRPr="00656744">
        <w:rPr>
          <w:rFonts w:asciiTheme="minorHAnsi" w:hAnsiTheme="minorHAnsi" w:cstheme="minorHAnsi"/>
          <w:b/>
          <w:bCs/>
          <w:smallCaps/>
          <w:color w:val="0092AF"/>
          <w:spacing w:val="5"/>
          <w:sz w:val="40"/>
          <w:szCs w:val="40"/>
          <w:lang w:val="bs-Latn-BA" w:eastAsia="en-US"/>
        </w:rPr>
        <w:t>2</w:t>
      </w:r>
      <w:r w:rsidR="00174B66">
        <w:rPr>
          <w:rFonts w:asciiTheme="minorHAnsi" w:hAnsiTheme="minorHAnsi" w:cstheme="minorHAnsi"/>
          <w:b/>
          <w:bCs/>
          <w:smallCaps/>
          <w:color w:val="0092AF"/>
          <w:spacing w:val="5"/>
          <w:sz w:val="40"/>
          <w:szCs w:val="40"/>
          <w:lang w:val="bs-Latn-BA" w:eastAsia="en-US"/>
        </w:rPr>
        <w:t>3</w:t>
      </w:r>
      <w:r w:rsidRPr="00656744">
        <w:rPr>
          <w:rFonts w:asciiTheme="minorHAnsi" w:hAnsiTheme="minorHAnsi" w:cstheme="minorHAnsi"/>
          <w:b/>
          <w:bCs/>
          <w:smallCaps/>
          <w:color w:val="0092AF"/>
          <w:spacing w:val="5"/>
          <w:sz w:val="40"/>
          <w:szCs w:val="40"/>
          <w:lang w:val="bs-Latn-BA" w:eastAsia="en-US"/>
        </w:rPr>
        <w:t>–2</w:t>
      </w:r>
      <w:r w:rsidR="00174B66">
        <w:rPr>
          <w:rFonts w:asciiTheme="minorHAnsi" w:hAnsiTheme="minorHAnsi" w:cstheme="minorHAnsi"/>
          <w:b/>
          <w:bCs/>
          <w:smallCaps/>
          <w:color w:val="0092AF"/>
          <w:spacing w:val="5"/>
          <w:sz w:val="40"/>
          <w:szCs w:val="40"/>
          <w:lang w:val="bs-Latn-BA" w:eastAsia="en-US"/>
        </w:rPr>
        <w:t>4</w:t>
      </w:r>
      <w:r w:rsidRPr="00656744">
        <w:rPr>
          <w:rFonts w:asciiTheme="minorHAnsi" w:hAnsiTheme="minorHAnsi" w:cstheme="minorHAnsi"/>
          <w:b/>
          <w:bCs/>
          <w:smallCaps/>
          <w:color w:val="0092AF"/>
          <w:spacing w:val="5"/>
          <w:sz w:val="40"/>
          <w:szCs w:val="40"/>
          <w:lang w:val="bs-Latn-BA" w:eastAsia="en-US"/>
        </w:rPr>
        <w:t xml:space="preserve"> November 2026</w:t>
      </w:r>
    </w:p>
    <w:p w14:paraId="667FBEB6" w14:textId="77777777" w:rsidR="007B5DDA" w:rsidRPr="00B42EE3" w:rsidRDefault="00F6741A" w:rsidP="00B42EE3">
      <w:pPr>
        <w:spacing w:after="160" w:line="288" w:lineRule="auto"/>
        <w:ind w:left="752" w:right="901"/>
        <w:jc w:val="center"/>
        <w:rPr>
          <w:rFonts w:asciiTheme="minorHAnsi" w:hAnsiTheme="minorHAnsi" w:cstheme="minorHAnsi"/>
          <w:color w:val="0092AF"/>
          <w:sz w:val="28"/>
          <w:szCs w:val="28"/>
          <w:lang w:val="bs-Latn-BA" w:eastAsia="en-US"/>
        </w:rPr>
      </w:pPr>
      <w:r w:rsidRPr="00B42EE3">
        <w:rPr>
          <w:rFonts w:asciiTheme="minorHAnsi" w:hAnsiTheme="minorHAnsi" w:cstheme="minorHAnsi"/>
          <w:color w:val="0092AF"/>
          <w:sz w:val="28"/>
          <w:szCs w:val="28"/>
          <w:lang w:val="bs-Latn-BA" w:eastAsia="en-US"/>
        </w:rPr>
        <w:t>Zagreb, Croatia</w:t>
      </w:r>
    </w:p>
    <w:p w14:paraId="4DC43671" w14:textId="77777777" w:rsidR="007B5DDA" w:rsidRDefault="007B5DDA">
      <w:pPr>
        <w:rPr>
          <w:rFonts w:ascii="Calibri" w:eastAsia="Calibri" w:hAnsi="Calibri" w:cs="Calibri"/>
          <w:b/>
          <w:bCs/>
          <w:i/>
          <w:iCs/>
          <w:sz w:val="22"/>
          <w:szCs w:val="22"/>
        </w:rPr>
      </w:pPr>
      <w:r>
        <w:rPr>
          <w:rFonts w:ascii="Calibri" w:eastAsia="Calibri" w:hAnsi="Calibri" w:cs="Calibri"/>
          <w:b/>
          <w:bCs/>
          <w:i/>
          <w:iCs/>
          <w:sz w:val="22"/>
          <w:szCs w:val="22"/>
        </w:rPr>
        <w:br w:type="page"/>
      </w:r>
    </w:p>
    <w:p w14:paraId="7B695D39" w14:textId="77777777" w:rsidR="00125B05" w:rsidRDefault="00125B05">
      <w:pPr>
        <w:jc w:val="center"/>
      </w:pPr>
    </w:p>
    <w:p w14:paraId="142A3B30" w14:textId="77777777" w:rsidR="00125B05" w:rsidRDefault="00125B05"/>
    <w:p w14:paraId="332D4E12" w14:textId="77777777" w:rsidR="006659F7" w:rsidRPr="009E31A2" w:rsidRDefault="006659F7" w:rsidP="006659F7">
      <w:pPr>
        <w:pStyle w:val="Footer"/>
        <w:jc w:val="both"/>
        <w:rPr>
          <w:rFonts w:asciiTheme="minorHAnsi" w:hAnsiTheme="minorHAnsi" w:cstheme="minorHAnsi"/>
          <w:b/>
          <w:color w:val="0092AF"/>
          <w:sz w:val="28"/>
          <w:szCs w:val="22"/>
        </w:rPr>
      </w:pPr>
      <w:r w:rsidRPr="009E31A2">
        <w:rPr>
          <w:rFonts w:asciiTheme="minorHAnsi" w:hAnsiTheme="minorHAnsi" w:cstheme="minorHAnsi"/>
          <w:b/>
          <w:color w:val="0092AF"/>
          <w:sz w:val="28"/>
          <w:szCs w:val="22"/>
        </w:rPr>
        <w:t xml:space="preserve">Background </w:t>
      </w:r>
    </w:p>
    <w:p w14:paraId="6C18D3C4" w14:textId="77777777" w:rsidR="00125B05" w:rsidRDefault="00F6741A" w:rsidP="001844D0">
      <w:pPr>
        <w:spacing w:after="160"/>
        <w:jc w:val="both"/>
      </w:pPr>
      <w:r>
        <w:rPr>
          <w:rFonts w:ascii="Calibri" w:eastAsia="Calibri" w:hAnsi="Calibri" w:cs="Calibri"/>
          <w:sz w:val="22"/>
          <w:szCs w:val="22"/>
        </w:rPr>
        <w:t xml:space="preserve">Public investment is where public financial management (PFM) turns into roads, railways, energy networks, schools and hospitals, and it is where inefficiency is most costly. </w:t>
      </w:r>
      <w:proofErr w:type="spellStart"/>
      <w:r>
        <w:rPr>
          <w:rFonts w:ascii="Calibri" w:eastAsia="Calibri" w:hAnsi="Calibri" w:cs="Calibri"/>
          <w:sz w:val="22"/>
          <w:szCs w:val="22"/>
        </w:rPr>
        <w:t>ReSPA</w:t>
      </w:r>
      <w:proofErr w:type="spellEnd"/>
      <w:r>
        <w:rPr>
          <w:rFonts w:ascii="Calibri" w:eastAsia="Calibri" w:hAnsi="Calibri" w:cs="Calibri"/>
          <w:sz w:val="22"/>
          <w:szCs w:val="22"/>
        </w:rPr>
        <w:t xml:space="preserve">, in cooperation with the International Monetary Fund (IMF) and hosted by the Ministry of Finance of the Republic of Croatia, is therefore pleased to announce a regional capacity-building workshop in Zagreb. It brings together the public investment management (PIM) units of ministries of finance, central planning bodies and line ministries with large capital budgets from </w:t>
      </w:r>
      <w:proofErr w:type="spellStart"/>
      <w:r>
        <w:rPr>
          <w:rFonts w:ascii="Calibri" w:eastAsia="Calibri" w:hAnsi="Calibri" w:cs="Calibri"/>
          <w:sz w:val="22"/>
          <w:szCs w:val="22"/>
        </w:rPr>
        <w:t>ReSPA</w:t>
      </w:r>
      <w:proofErr w:type="spellEnd"/>
      <w:r>
        <w:rPr>
          <w:rFonts w:ascii="Calibri" w:eastAsia="Calibri" w:hAnsi="Calibri" w:cs="Calibri"/>
          <w:sz w:val="22"/>
          <w:szCs w:val="22"/>
        </w:rPr>
        <w:t xml:space="preserve"> Members and Beneficiaries, together with counterparts from Moldova, Ukraine and Armenia.</w:t>
      </w:r>
    </w:p>
    <w:p w14:paraId="0F80EE22" w14:textId="77777777" w:rsidR="00125B05" w:rsidRDefault="00F6741A" w:rsidP="001844D0">
      <w:pPr>
        <w:spacing w:after="160"/>
        <w:jc w:val="both"/>
      </w:pPr>
      <w:r>
        <w:rPr>
          <w:rFonts w:ascii="Calibri" w:eastAsia="Calibri" w:hAnsi="Calibri" w:cs="Calibri"/>
          <w:sz w:val="22"/>
          <w:szCs w:val="22"/>
        </w:rPr>
        <w:t xml:space="preserve">The workshop responds to three developments. First, the IMF estimates that 31–39% of the potential value of public spending in emerging economies is lost through inefficiency (Fiscal Monitor, October 2025). Second, the IMF Public Investment Management Assessments (PIMAs) for the Western Balkans show that PIM laws, decrees and units have improved, but practice </w:t>
      </w:r>
      <w:proofErr w:type="gramStart"/>
      <w:r>
        <w:rPr>
          <w:rFonts w:ascii="Calibri" w:eastAsia="Calibri" w:hAnsi="Calibri" w:cs="Calibri"/>
          <w:sz w:val="22"/>
          <w:szCs w:val="22"/>
        </w:rPr>
        <w:t>lags behind</w:t>
      </w:r>
      <w:proofErr w:type="gramEnd"/>
      <w:r>
        <w:rPr>
          <w:rFonts w:ascii="Calibri" w:eastAsia="Calibri" w:hAnsi="Calibri" w:cs="Calibri"/>
          <w:sz w:val="22"/>
          <w:szCs w:val="22"/>
        </w:rPr>
        <w:t>: the main bottlenecks are project appraisal, project selection, medium-term budgeting and portfolio management. Third, EU funding for infrastructure in the region is growing fast, but delivery is slow. The European Court of Auditors found that of €2.7 billion of EU funds allocated under the Western Balkans Investment Framework between 2015 and mid-2025, only €527 million had been paid (Special Report 16/2026). The workshop is designed to help participants move from PIM rules on paper to projects that are well selected, affordable and delivered on time.</w:t>
      </w:r>
    </w:p>
    <w:p w14:paraId="603C3F6E" w14:textId="77777777" w:rsidR="00125B05" w:rsidRDefault="00F6741A" w:rsidP="001844D0">
      <w:pPr>
        <w:spacing w:after="160"/>
        <w:jc w:val="both"/>
      </w:pPr>
      <w:r>
        <w:rPr>
          <w:rFonts w:ascii="Calibri" w:eastAsia="Calibri" w:hAnsi="Calibri" w:cs="Calibri"/>
          <w:sz w:val="22"/>
          <w:szCs w:val="22"/>
        </w:rPr>
        <w:t>The programme draws on the technical expertise of the IMF Fiscal Affairs Department, including its 2026 internal evaluation of PIMA and the C-PIMA Handbook on climate-responsive investment (November 2025). It also uses SIGMA Paper No. 80 (July 2026), which sets out 11 principles for a Single Project Pipeline in EU candidate countries. The Ministry of Finance of the Republic of Croatia shares the experience of an EU Member State with unified appraisal rules, green budget tagging and delivery of its Recovery and Resilience Plan against hard EU deadlines.</w:t>
      </w:r>
    </w:p>
    <w:p w14:paraId="025A37D4" w14:textId="77777777" w:rsidR="00125B05" w:rsidRDefault="00F6741A" w:rsidP="001844D0">
      <w:pPr>
        <w:spacing w:after="160"/>
        <w:jc w:val="both"/>
      </w:pPr>
      <w:r>
        <w:rPr>
          <w:rFonts w:ascii="Calibri" w:eastAsia="Calibri" w:hAnsi="Calibri" w:cs="Calibri"/>
          <w:sz w:val="22"/>
          <w:szCs w:val="22"/>
        </w:rPr>
        <w:t>The programme is structured as a working, problem-solving exchange rather than a one-way transfer of knowledge. Before the workshop, each administration completes a short self-assessment against the 11 Single Project Pipeline principles; the results are presented as a regional heatmap. Participants then analyse a real project that ran over time or budget, discuss support options directly with development partners, and translate the discussion into one country-specific reform action that feeds into their own PIM reform agenda, including, where relevant, the reform steps monitored under the Reform and Growth Facility for the Western Balkans and the Ukraine Facility.</w:t>
      </w:r>
    </w:p>
    <w:p w14:paraId="5A1C83D3" w14:textId="77777777" w:rsidR="00125B05" w:rsidRDefault="00F6741A" w:rsidP="001844D0">
      <w:pPr>
        <w:spacing w:after="160"/>
        <w:jc w:val="both"/>
      </w:pPr>
      <w:r>
        <w:rPr>
          <w:rFonts w:ascii="Calibri" w:eastAsia="Calibri" w:hAnsi="Calibri" w:cs="Calibri"/>
          <w:sz w:val="22"/>
          <w:szCs w:val="22"/>
        </w:rPr>
        <w:t>Throughout the two days, the discussion will draw on regional evidence and comparative practice, in particular:</w:t>
      </w:r>
    </w:p>
    <w:p w14:paraId="12FA1E42" w14:textId="77777777" w:rsidR="00125B05" w:rsidRDefault="00F6741A" w:rsidP="001844D0">
      <w:pPr>
        <w:pStyle w:val="ListParagraph"/>
        <w:numPr>
          <w:ilvl w:val="0"/>
          <w:numId w:val="2"/>
        </w:numPr>
        <w:spacing w:after="80"/>
        <w:jc w:val="both"/>
      </w:pPr>
      <w:r>
        <w:rPr>
          <w:rFonts w:ascii="Calibri" w:eastAsia="Calibri" w:hAnsi="Calibri" w:cs="Calibri"/>
          <w:sz w:val="22"/>
          <w:szCs w:val="22"/>
        </w:rPr>
        <w:t>IMF PIMA findings for Albania, Bosnia and Herzegovina, Montenegro, North Macedonia, Serbia and other regional administrations, and the IMF’s analysis of the region’s double challenge of a low public capital stock and low investment efficiency;</w:t>
      </w:r>
    </w:p>
    <w:p w14:paraId="206783F9" w14:textId="77777777" w:rsidR="00125B05" w:rsidRDefault="00F6741A" w:rsidP="001844D0">
      <w:pPr>
        <w:pStyle w:val="ListParagraph"/>
        <w:numPr>
          <w:ilvl w:val="0"/>
          <w:numId w:val="2"/>
        </w:numPr>
        <w:spacing w:after="80"/>
        <w:jc w:val="both"/>
      </w:pPr>
      <w:r>
        <w:rPr>
          <w:rFonts w:ascii="Calibri" w:eastAsia="Calibri" w:hAnsi="Calibri" w:cs="Calibri"/>
          <w:sz w:val="22"/>
          <w:szCs w:val="22"/>
        </w:rPr>
        <w:t>The new PIM units in the ministries of finance of Montenegro, North Macedonia and Serbia, and PIM decrees requiring feasibility studies across the region;</w:t>
      </w:r>
    </w:p>
    <w:p w14:paraId="3E3EB190" w14:textId="77777777" w:rsidR="00125B05" w:rsidRDefault="00F6741A" w:rsidP="001844D0">
      <w:pPr>
        <w:pStyle w:val="ListParagraph"/>
        <w:numPr>
          <w:ilvl w:val="0"/>
          <w:numId w:val="2"/>
        </w:numPr>
        <w:spacing w:after="80"/>
        <w:jc w:val="both"/>
      </w:pPr>
      <w:r>
        <w:rPr>
          <w:rFonts w:ascii="Calibri" w:eastAsia="Calibri" w:hAnsi="Calibri" w:cs="Calibri"/>
          <w:sz w:val="22"/>
          <w:szCs w:val="22"/>
        </w:rPr>
        <w:t>Ukraine’s Single Project Pipeline, approved by the Strategic Investment Council in 2025 for a recovery effort with needs estimated at US$588 billion over the next decade;</w:t>
      </w:r>
    </w:p>
    <w:p w14:paraId="062EAD72" w14:textId="77777777" w:rsidR="00125B05" w:rsidRDefault="00F6741A" w:rsidP="001844D0">
      <w:pPr>
        <w:pStyle w:val="ListParagraph"/>
        <w:numPr>
          <w:ilvl w:val="0"/>
          <w:numId w:val="2"/>
        </w:numPr>
        <w:spacing w:after="80"/>
        <w:jc w:val="both"/>
      </w:pPr>
      <w:r>
        <w:rPr>
          <w:rFonts w:ascii="Calibri" w:eastAsia="Calibri" w:hAnsi="Calibri" w:cs="Calibri"/>
          <w:sz w:val="22"/>
          <w:szCs w:val="22"/>
        </w:rPr>
        <w:t>Albania’s National Single Project Pipeline and the introduction of PIM information systems in Bosnia and Herzegovina and North Macedonia;</w:t>
      </w:r>
    </w:p>
    <w:p w14:paraId="47C09082" w14:textId="77777777" w:rsidR="00125B05" w:rsidRDefault="00F6741A" w:rsidP="001844D0">
      <w:pPr>
        <w:pStyle w:val="ListParagraph"/>
        <w:numPr>
          <w:ilvl w:val="0"/>
          <w:numId w:val="2"/>
        </w:numPr>
        <w:spacing w:after="80"/>
        <w:jc w:val="both"/>
      </w:pPr>
      <w:r>
        <w:rPr>
          <w:rFonts w:ascii="Calibri" w:eastAsia="Calibri" w:hAnsi="Calibri" w:cs="Calibri"/>
          <w:sz w:val="22"/>
          <w:szCs w:val="22"/>
        </w:rPr>
        <w:t>Armenia’s 2023 PIM Decree and Moldova’s PIM reform supported by new IT systems and its 2023 C-PIMA;</w:t>
      </w:r>
    </w:p>
    <w:p w14:paraId="41749781" w14:textId="77777777" w:rsidR="00125B05" w:rsidRDefault="00F6741A" w:rsidP="001844D0">
      <w:pPr>
        <w:pStyle w:val="ListParagraph"/>
        <w:numPr>
          <w:ilvl w:val="0"/>
          <w:numId w:val="2"/>
        </w:numPr>
        <w:spacing w:after="80"/>
        <w:jc w:val="both"/>
      </w:pPr>
      <w:r>
        <w:rPr>
          <w:rFonts w:ascii="Calibri" w:eastAsia="Calibri" w:hAnsi="Calibri" w:cs="Calibri"/>
          <w:sz w:val="22"/>
          <w:szCs w:val="22"/>
        </w:rPr>
        <w:t>Croatia’s 2022 Budget Law and Government Decree setting unified appraisal rules, including climate criteria, and its green budget tagging introduced for the 2027–2029 budget;</w:t>
      </w:r>
    </w:p>
    <w:p w14:paraId="30E50642" w14:textId="77777777" w:rsidR="00125B05" w:rsidRDefault="00F6741A" w:rsidP="001844D0">
      <w:pPr>
        <w:pStyle w:val="ListParagraph"/>
        <w:numPr>
          <w:ilvl w:val="0"/>
          <w:numId w:val="2"/>
        </w:numPr>
        <w:spacing w:after="80"/>
        <w:jc w:val="both"/>
      </w:pPr>
      <w:r>
        <w:rPr>
          <w:rFonts w:ascii="Calibri" w:eastAsia="Calibri" w:hAnsi="Calibri" w:cs="Calibri"/>
          <w:sz w:val="22"/>
          <w:szCs w:val="22"/>
        </w:rPr>
        <w:lastRenderedPageBreak/>
        <w:t>SIGMA Paper No. 80 on the Single Project Pipeline and the IMF C-PIMA Handbook as reference frameworks for EU candidate countries.</w:t>
      </w:r>
    </w:p>
    <w:p w14:paraId="5D2DD603" w14:textId="77777777" w:rsidR="00125B05" w:rsidRDefault="00F6741A" w:rsidP="001844D0">
      <w:pPr>
        <w:spacing w:after="160"/>
        <w:jc w:val="both"/>
      </w:pPr>
      <w:r>
        <w:rPr>
          <w:rFonts w:ascii="Calibri" w:eastAsia="Calibri" w:hAnsi="Calibri" w:cs="Calibri"/>
          <w:sz w:val="22"/>
          <w:szCs w:val="22"/>
        </w:rPr>
        <w:t>Through this combination of regional evidence and international good practice, the workshop will keep a strong link between PIM policy frameworks and the operational realities faced by ministries of finance, line ministries and project implementing units.</w:t>
      </w:r>
    </w:p>
    <w:p w14:paraId="4278083B" w14:textId="77777777" w:rsidR="00125B05" w:rsidRDefault="00F6741A" w:rsidP="001844D0">
      <w:pPr>
        <w:spacing w:after="160"/>
        <w:jc w:val="both"/>
      </w:pPr>
      <w:r>
        <w:rPr>
          <w:rFonts w:ascii="Calibri" w:eastAsia="Calibri" w:hAnsi="Calibri" w:cs="Calibri"/>
          <w:sz w:val="22"/>
          <w:szCs w:val="22"/>
        </w:rPr>
        <w:t>Participants will:</w:t>
      </w:r>
    </w:p>
    <w:p w14:paraId="71D1F3AD" w14:textId="77777777" w:rsidR="00125B05" w:rsidRDefault="00F6741A" w:rsidP="001844D0">
      <w:pPr>
        <w:pStyle w:val="ListParagraph"/>
        <w:numPr>
          <w:ilvl w:val="0"/>
          <w:numId w:val="2"/>
        </w:numPr>
        <w:spacing w:after="80"/>
        <w:jc w:val="both"/>
      </w:pPr>
      <w:r>
        <w:rPr>
          <w:rFonts w:ascii="Calibri" w:eastAsia="Calibri" w:hAnsi="Calibri" w:cs="Calibri"/>
          <w:sz w:val="22"/>
          <w:szCs w:val="22"/>
        </w:rPr>
        <w:t>Examine how a Single Project Pipeline can act as the only entry point into the budget, using the 11 SIGMA principles and the experience of Ukraine and Albania;</w:t>
      </w:r>
    </w:p>
    <w:p w14:paraId="1E7E1AF4" w14:textId="77777777" w:rsidR="00125B05" w:rsidRDefault="00F6741A" w:rsidP="001844D0">
      <w:pPr>
        <w:pStyle w:val="ListParagraph"/>
        <w:numPr>
          <w:ilvl w:val="0"/>
          <w:numId w:val="2"/>
        </w:numPr>
        <w:spacing w:after="80"/>
        <w:jc w:val="both"/>
      </w:pPr>
      <w:r>
        <w:rPr>
          <w:rFonts w:ascii="Calibri" w:eastAsia="Calibri" w:hAnsi="Calibri" w:cs="Calibri"/>
          <w:sz w:val="22"/>
          <w:szCs w:val="22"/>
        </w:rPr>
        <w:t>Trace a real infrastructure project through each stage of the investment cycle to identify where it went wrong and which safeguards would have prevented it;</w:t>
      </w:r>
    </w:p>
    <w:p w14:paraId="66DCB3B7" w14:textId="77777777" w:rsidR="00125B05" w:rsidRDefault="00F6741A" w:rsidP="001844D0">
      <w:pPr>
        <w:pStyle w:val="ListParagraph"/>
        <w:numPr>
          <w:ilvl w:val="0"/>
          <w:numId w:val="2"/>
        </w:numPr>
        <w:spacing w:after="80"/>
        <w:jc w:val="both"/>
      </w:pPr>
      <w:r>
        <w:rPr>
          <w:rFonts w:ascii="Calibri" w:eastAsia="Calibri" w:hAnsi="Calibri" w:cs="Calibri"/>
          <w:sz w:val="22"/>
          <w:szCs w:val="22"/>
        </w:rPr>
        <w:t>Explore how to keep projects affordable and on track through multi-year commitment ceilings, maintenance funding and central portfolio oversight;</w:t>
      </w:r>
    </w:p>
    <w:p w14:paraId="3BE772B6" w14:textId="77777777" w:rsidR="00125B05" w:rsidRDefault="00F6741A" w:rsidP="001844D0">
      <w:pPr>
        <w:pStyle w:val="ListParagraph"/>
        <w:numPr>
          <w:ilvl w:val="0"/>
          <w:numId w:val="2"/>
        </w:numPr>
        <w:spacing w:after="80"/>
        <w:jc w:val="both"/>
      </w:pPr>
      <w:r>
        <w:rPr>
          <w:rFonts w:ascii="Calibri" w:eastAsia="Calibri" w:hAnsi="Calibri" w:cs="Calibri"/>
          <w:sz w:val="22"/>
          <w:szCs w:val="22"/>
        </w:rPr>
        <w:t>Discuss how to integrate climate risk and fiscal risks from PPPs and state-owned enterprises into ordinary investment decisions;</w:t>
      </w:r>
    </w:p>
    <w:p w14:paraId="392873EE" w14:textId="77777777" w:rsidR="00125B05" w:rsidRDefault="00F6741A" w:rsidP="001844D0">
      <w:pPr>
        <w:pStyle w:val="ListParagraph"/>
        <w:numPr>
          <w:ilvl w:val="0"/>
          <w:numId w:val="2"/>
        </w:numPr>
        <w:spacing w:after="80"/>
        <w:jc w:val="both"/>
      </w:pPr>
      <w:r>
        <w:rPr>
          <w:rFonts w:ascii="Calibri" w:eastAsia="Calibri" w:hAnsi="Calibri" w:cs="Calibri"/>
          <w:sz w:val="22"/>
          <w:szCs w:val="22"/>
        </w:rPr>
        <w:t xml:space="preserve">Put their support needs directly to development partners in a </w:t>
      </w:r>
      <w:proofErr w:type="gramStart"/>
      <w:r>
        <w:rPr>
          <w:rFonts w:ascii="Calibri" w:eastAsia="Calibri" w:hAnsi="Calibri" w:cs="Calibri"/>
          <w:sz w:val="22"/>
          <w:szCs w:val="22"/>
        </w:rPr>
        <w:t>partners’</w:t>
      </w:r>
      <w:proofErr w:type="gramEnd"/>
      <w:r>
        <w:rPr>
          <w:rFonts w:ascii="Calibri" w:eastAsia="Calibri" w:hAnsi="Calibri" w:cs="Calibri"/>
          <w:sz w:val="22"/>
          <w:szCs w:val="22"/>
        </w:rPr>
        <w:t xml:space="preserve"> round table;</w:t>
      </w:r>
    </w:p>
    <w:p w14:paraId="5FF433B2" w14:textId="77777777" w:rsidR="00125B05" w:rsidRDefault="00F6741A" w:rsidP="001844D0">
      <w:pPr>
        <w:pStyle w:val="ListParagraph"/>
        <w:numPr>
          <w:ilvl w:val="0"/>
          <w:numId w:val="2"/>
        </w:numPr>
        <w:spacing w:after="80"/>
        <w:jc w:val="both"/>
      </w:pPr>
      <w:r>
        <w:rPr>
          <w:rFonts w:ascii="Calibri" w:eastAsia="Calibri" w:hAnsi="Calibri" w:cs="Calibri"/>
          <w:sz w:val="22"/>
          <w:szCs w:val="22"/>
        </w:rPr>
        <w:t>Develop one concrete, country-specific reform action for priority PIM reforms.</w:t>
      </w:r>
    </w:p>
    <w:p w14:paraId="36702362" w14:textId="2A331601" w:rsidR="00125B05" w:rsidRDefault="00F6741A" w:rsidP="001844D0">
      <w:pPr>
        <w:spacing w:after="160"/>
        <w:jc w:val="both"/>
        <w:rPr>
          <w:rFonts w:ascii="Calibri" w:eastAsia="Calibri" w:hAnsi="Calibri" w:cs="Calibri"/>
          <w:sz w:val="22"/>
          <w:szCs w:val="22"/>
        </w:rPr>
      </w:pPr>
      <w:r>
        <w:rPr>
          <w:rFonts w:ascii="Calibri" w:eastAsia="Calibri" w:hAnsi="Calibri" w:cs="Calibri"/>
          <w:sz w:val="22"/>
          <w:szCs w:val="22"/>
        </w:rPr>
        <w:t xml:space="preserve">This workshop will serve as a platform for regional cooperation, institutional ownership and practical problem-solving. </w:t>
      </w:r>
    </w:p>
    <w:p w14:paraId="070A39C7" w14:textId="77777777" w:rsidR="001E41B8" w:rsidRDefault="001E41B8" w:rsidP="001844D0">
      <w:pPr>
        <w:spacing w:after="160"/>
        <w:jc w:val="both"/>
        <w:rPr>
          <w:rFonts w:asciiTheme="minorHAnsi" w:hAnsiTheme="minorHAnsi" w:cstheme="minorHAnsi"/>
          <w:b/>
          <w:color w:val="0092AF"/>
          <w:sz w:val="28"/>
          <w:szCs w:val="22"/>
        </w:rPr>
      </w:pPr>
      <w:r w:rsidRPr="009E31A2">
        <w:rPr>
          <w:rFonts w:asciiTheme="minorHAnsi" w:hAnsiTheme="minorHAnsi" w:cstheme="minorHAnsi"/>
          <w:b/>
          <w:color w:val="0092AF"/>
          <w:sz w:val="28"/>
          <w:szCs w:val="22"/>
        </w:rPr>
        <w:t>Participants</w:t>
      </w:r>
    </w:p>
    <w:p w14:paraId="2E572C3C" w14:textId="77777777" w:rsidR="00F56DF7" w:rsidRPr="009E31A2" w:rsidRDefault="00F56DF7" w:rsidP="003D3C47">
      <w:pPr>
        <w:pStyle w:val="Footer"/>
        <w:jc w:val="both"/>
        <w:rPr>
          <w:rFonts w:asciiTheme="minorHAnsi" w:hAnsiTheme="minorHAnsi" w:cstheme="minorHAnsi"/>
          <w:bCs/>
          <w:sz w:val="22"/>
          <w:szCs w:val="18"/>
        </w:rPr>
      </w:pPr>
      <w:r w:rsidRPr="009E31A2">
        <w:rPr>
          <w:rFonts w:asciiTheme="minorHAnsi" w:hAnsiTheme="minorHAnsi" w:cstheme="minorHAnsi"/>
          <w:bCs/>
          <w:sz w:val="22"/>
          <w:szCs w:val="18"/>
        </w:rPr>
        <w:t>The event would bring together representatives of the following institutions from the participating administrations:</w:t>
      </w:r>
    </w:p>
    <w:p w14:paraId="6148C253" w14:textId="77777777" w:rsidR="00010B47" w:rsidRDefault="00010B47" w:rsidP="003D3C47">
      <w:pPr>
        <w:numPr>
          <w:ilvl w:val="0"/>
          <w:numId w:val="3"/>
        </w:numPr>
        <w:jc w:val="both"/>
      </w:pPr>
      <w:r w:rsidRPr="00AE0476">
        <w:rPr>
          <w:rFonts w:ascii="Calibri" w:hAnsi="Calibri" w:cs="Calibri"/>
          <w:b/>
          <w:bCs/>
        </w:rPr>
        <w:t>Ministries of finance</w:t>
      </w:r>
      <w:r w:rsidRPr="00AE0476">
        <w:rPr>
          <w:rFonts w:ascii="Calibri" w:hAnsi="Calibri" w:cs="Calibri"/>
        </w:rPr>
        <w:t xml:space="preserve"> – PIM units, budget departments and fiscal risk units</w:t>
      </w:r>
    </w:p>
    <w:p w14:paraId="3F53E3C3" w14:textId="77777777" w:rsidR="00010B47" w:rsidRDefault="00010B47" w:rsidP="003D3C47">
      <w:pPr>
        <w:numPr>
          <w:ilvl w:val="0"/>
          <w:numId w:val="3"/>
        </w:numPr>
        <w:jc w:val="both"/>
      </w:pPr>
      <w:r w:rsidRPr="00AE0476">
        <w:rPr>
          <w:rFonts w:ascii="Calibri" w:hAnsi="Calibri" w:cs="Calibri"/>
          <w:b/>
          <w:bCs/>
        </w:rPr>
        <w:t>Central planning and coordination bodies</w:t>
      </w:r>
      <w:r w:rsidRPr="00AE0476">
        <w:rPr>
          <w:rFonts w:ascii="Calibri" w:hAnsi="Calibri" w:cs="Calibri"/>
        </w:rPr>
        <w:t xml:space="preserve"> responsible for strategic planning and the national project pipeline</w:t>
      </w:r>
    </w:p>
    <w:p w14:paraId="1055821D" w14:textId="77777777" w:rsidR="00010B47" w:rsidRDefault="00010B47" w:rsidP="003D3C47">
      <w:pPr>
        <w:numPr>
          <w:ilvl w:val="0"/>
          <w:numId w:val="3"/>
        </w:numPr>
        <w:jc w:val="both"/>
      </w:pPr>
      <w:r w:rsidRPr="00AE0476">
        <w:rPr>
          <w:rFonts w:ascii="Calibri" w:hAnsi="Calibri" w:cs="Calibri"/>
          <w:b/>
          <w:bCs/>
        </w:rPr>
        <w:t>Line ministries and agencies</w:t>
      </w:r>
      <w:r w:rsidRPr="00AE0476">
        <w:rPr>
          <w:rFonts w:ascii="Calibri" w:hAnsi="Calibri" w:cs="Calibri"/>
        </w:rPr>
        <w:t xml:space="preserve"> with large capital budgets (transport, energy, environment, health, education)</w:t>
      </w:r>
    </w:p>
    <w:p w14:paraId="3B6D56F2" w14:textId="77777777" w:rsidR="00010B47" w:rsidRDefault="00010B47" w:rsidP="003D3C47">
      <w:pPr>
        <w:numPr>
          <w:ilvl w:val="0"/>
          <w:numId w:val="3"/>
        </w:numPr>
        <w:jc w:val="both"/>
      </w:pPr>
      <w:r w:rsidRPr="00AE0476">
        <w:rPr>
          <w:rFonts w:ascii="Calibri" w:hAnsi="Calibri" w:cs="Calibri"/>
          <w:b/>
          <w:bCs/>
        </w:rPr>
        <w:t>Institutions responsible for PIM information systems</w:t>
      </w:r>
      <w:r w:rsidRPr="00AE0476">
        <w:rPr>
          <w:rFonts w:ascii="Calibri" w:hAnsi="Calibri" w:cs="Calibri"/>
        </w:rPr>
        <w:t xml:space="preserve"> and for the monitoring of EU-funded investments</w:t>
      </w:r>
    </w:p>
    <w:p w14:paraId="6CAD5588" w14:textId="77777777" w:rsidR="00010B47" w:rsidRDefault="00010B47" w:rsidP="00397FEE">
      <w:pPr>
        <w:spacing w:after="160"/>
        <w:jc w:val="both"/>
      </w:pPr>
    </w:p>
    <w:p w14:paraId="50B73785" w14:textId="77777777" w:rsidR="00125B05" w:rsidRPr="00E90D7E" w:rsidRDefault="00F6741A" w:rsidP="003D3C47">
      <w:pPr>
        <w:pStyle w:val="Footer"/>
        <w:tabs>
          <w:tab w:val="clear" w:pos="9026"/>
          <w:tab w:val="right" w:pos="9072"/>
        </w:tabs>
        <w:jc w:val="both"/>
        <w:rPr>
          <w:rFonts w:asciiTheme="minorHAnsi" w:hAnsiTheme="minorHAnsi" w:cstheme="minorHAnsi"/>
          <w:b/>
          <w:color w:val="0092AF"/>
          <w:sz w:val="28"/>
          <w:szCs w:val="22"/>
          <w:lang w:val="en-US" w:eastAsia="en-US"/>
        </w:rPr>
      </w:pPr>
      <w:r w:rsidRPr="00E90D7E">
        <w:rPr>
          <w:rFonts w:asciiTheme="minorHAnsi" w:hAnsiTheme="minorHAnsi" w:cstheme="minorHAnsi"/>
          <w:b/>
          <w:color w:val="0092AF"/>
          <w:sz w:val="28"/>
          <w:szCs w:val="22"/>
          <w:lang w:val="en-US" w:eastAsia="en-US"/>
        </w:rPr>
        <w:t>Expected Outcomes</w:t>
      </w:r>
    </w:p>
    <w:p w14:paraId="1FD9BF90" w14:textId="77777777" w:rsidR="00125B05" w:rsidRDefault="00F6741A" w:rsidP="0040253F">
      <w:pPr>
        <w:spacing w:after="160"/>
        <w:jc w:val="both"/>
      </w:pPr>
      <w:r>
        <w:rPr>
          <w:rFonts w:ascii="Calibri" w:eastAsia="Calibri" w:hAnsi="Calibri" w:cs="Calibri"/>
          <w:sz w:val="22"/>
          <w:szCs w:val="22"/>
        </w:rPr>
        <w:t>By the end of the workshop, participants are expected to:</w:t>
      </w:r>
    </w:p>
    <w:p w14:paraId="7F96AD68" w14:textId="77777777" w:rsidR="00125B05" w:rsidRDefault="00F6741A" w:rsidP="0040253F">
      <w:pPr>
        <w:pStyle w:val="ListParagraph"/>
        <w:numPr>
          <w:ilvl w:val="0"/>
          <w:numId w:val="2"/>
        </w:numPr>
        <w:spacing w:after="80"/>
        <w:jc w:val="both"/>
      </w:pPr>
      <w:r>
        <w:rPr>
          <w:rFonts w:ascii="Calibri" w:eastAsia="Calibri" w:hAnsi="Calibri" w:cs="Calibri"/>
          <w:sz w:val="22"/>
          <w:szCs w:val="22"/>
        </w:rPr>
        <w:t>Strengthen their understanding of the gap between PIM rules and practice, and of current IMF and SIGMA reference frameworks;</w:t>
      </w:r>
    </w:p>
    <w:p w14:paraId="52877487" w14:textId="77777777" w:rsidR="00125B05" w:rsidRDefault="00F6741A" w:rsidP="0040253F">
      <w:pPr>
        <w:pStyle w:val="ListParagraph"/>
        <w:numPr>
          <w:ilvl w:val="0"/>
          <w:numId w:val="2"/>
        </w:numPr>
        <w:spacing w:after="80"/>
        <w:jc w:val="both"/>
      </w:pPr>
      <w:r>
        <w:rPr>
          <w:rFonts w:ascii="Calibri" w:eastAsia="Calibri" w:hAnsi="Calibri" w:cs="Calibri"/>
          <w:sz w:val="22"/>
          <w:szCs w:val="22"/>
        </w:rPr>
        <w:t>Understand the principles and preconditions for a functioning Single Project Pipeline linked to the medium-term budget;</w:t>
      </w:r>
    </w:p>
    <w:p w14:paraId="318E41BA" w14:textId="77777777" w:rsidR="00125B05" w:rsidRDefault="00F6741A" w:rsidP="0040253F">
      <w:pPr>
        <w:pStyle w:val="ListParagraph"/>
        <w:numPr>
          <w:ilvl w:val="0"/>
          <w:numId w:val="2"/>
        </w:numPr>
        <w:spacing w:after="80"/>
        <w:jc w:val="both"/>
      </w:pPr>
      <w:r>
        <w:rPr>
          <w:rFonts w:ascii="Calibri" w:eastAsia="Calibri" w:hAnsi="Calibri" w:cs="Calibri"/>
          <w:sz w:val="22"/>
          <w:szCs w:val="22"/>
        </w:rPr>
        <w:t>Improve their ability to identify risks of cost and schedule overruns early in the project cycle;</w:t>
      </w:r>
    </w:p>
    <w:p w14:paraId="397C3884" w14:textId="77777777" w:rsidR="00125B05" w:rsidRDefault="00F6741A" w:rsidP="0040253F">
      <w:pPr>
        <w:pStyle w:val="ListParagraph"/>
        <w:numPr>
          <w:ilvl w:val="0"/>
          <w:numId w:val="2"/>
        </w:numPr>
        <w:spacing w:after="80"/>
        <w:jc w:val="both"/>
      </w:pPr>
      <w:r>
        <w:rPr>
          <w:rFonts w:ascii="Calibri" w:eastAsia="Calibri" w:hAnsi="Calibri" w:cs="Calibri"/>
          <w:sz w:val="22"/>
          <w:szCs w:val="22"/>
        </w:rPr>
        <w:t>Strengthen their understanding of portfolio oversight, maintenance funding, and climate and fiscal risk management in public investment;</w:t>
      </w:r>
    </w:p>
    <w:p w14:paraId="6D90DF6A" w14:textId="77777777" w:rsidR="00125B05" w:rsidRDefault="00F6741A" w:rsidP="0040253F">
      <w:pPr>
        <w:pStyle w:val="ListParagraph"/>
        <w:numPr>
          <w:ilvl w:val="0"/>
          <w:numId w:val="2"/>
        </w:numPr>
        <w:spacing w:after="80"/>
        <w:jc w:val="both"/>
      </w:pPr>
      <w:r>
        <w:rPr>
          <w:rFonts w:ascii="Calibri" w:eastAsia="Calibri" w:hAnsi="Calibri" w:cs="Calibri"/>
          <w:sz w:val="22"/>
          <w:szCs w:val="22"/>
        </w:rPr>
        <w:t>Gain a clearer picture of the support available from development partners for PIM reform in 2027;</w:t>
      </w:r>
    </w:p>
    <w:p w14:paraId="69D7DFF0" w14:textId="77777777" w:rsidR="00125B05" w:rsidRDefault="00F6741A" w:rsidP="0040253F">
      <w:pPr>
        <w:pStyle w:val="ListParagraph"/>
        <w:numPr>
          <w:ilvl w:val="0"/>
          <w:numId w:val="2"/>
        </w:numPr>
        <w:spacing w:after="80"/>
        <w:jc w:val="both"/>
      </w:pPr>
      <w:r>
        <w:rPr>
          <w:rFonts w:ascii="Calibri" w:eastAsia="Calibri" w:hAnsi="Calibri" w:cs="Calibri"/>
          <w:sz w:val="22"/>
          <w:szCs w:val="22"/>
        </w:rPr>
        <w:t>Develop a concrete, country-specific reform action, drafted during the Reform Design Lab and refined through peer feedback.</w:t>
      </w:r>
    </w:p>
    <w:p w14:paraId="19B6F2E6" w14:textId="77777777" w:rsidR="00125B05" w:rsidRDefault="00F6741A" w:rsidP="0040253F">
      <w:pPr>
        <w:spacing w:after="160"/>
        <w:jc w:val="both"/>
        <w:rPr>
          <w:rFonts w:ascii="Calibri" w:eastAsia="Calibri" w:hAnsi="Calibri" w:cs="Calibri"/>
          <w:sz w:val="22"/>
          <w:szCs w:val="22"/>
        </w:rPr>
      </w:pPr>
      <w:r>
        <w:rPr>
          <w:rFonts w:ascii="Calibri" w:eastAsia="Calibri" w:hAnsi="Calibri" w:cs="Calibri"/>
          <w:sz w:val="22"/>
          <w:szCs w:val="22"/>
        </w:rPr>
        <w:t>The workshop ultimately supports better selection, budgeting and delivery of public investment, contributing to stronger public financial management, more effective use of EU funds and continued progress in the EU accession process.</w:t>
      </w:r>
    </w:p>
    <w:p w14:paraId="1A912CEF" w14:textId="77777777" w:rsidR="006659F7" w:rsidRDefault="006659F7" w:rsidP="0040253F">
      <w:pPr>
        <w:spacing w:after="160"/>
        <w:jc w:val="both"/>
        <w:rPr>
          <w:rFonts w:ascii="Calibri" w:eastAsia="Calibri" w:hAnsi="Calibri" w:cs="Calibri"/>
          <w:sz w:val="22"/>
          <w:szCs w:val="22"/>
        </w:rPr>
      </w:pPr>
    </w:p>
    <w:p w14:paraId="1B13144C" w14:textId="77777777" w:rsidR="00893E4A" w:rsidRDefault="00893E4A" w:rsidP="0040253F">
      <w:pPr>
        <w:spacing w:after="160"/>
        <w:jc w:val="both"/>
        <w:rPr>
          <w:rFonts w:ascii="Calibri" w:eastAsia="Calibri" w:hAnsi="Calibri" w:cs="Calibri"/>
          <w:sz w:val="22"/>
          <w:szCs w:val="22"/>
        </w:rPr>
      </w:pPr>
    </w:p>
    <w:p w14:paraId="4E759C53" w14:textId="77777777" w:rsidR="0002473B" w:rsidRDefault="0002473B" w:rsidP="0002473B">
      <w:pPr>
        <w:pStyle w:val="Title"/>
        <w:jc w:val="center"/>
        <w:rPr>
          <w:rFonts w:eastAsia="Calibri"/>
          <w:sz w:val="40"/>
          <w:szCs w:val="40"/>
        </w:rPr>
      </w:pPr>
      <w:r w:rsidRPr="00EB2831">
        <w:rPr>
          <w:rFonts w:eastAsia="Calibri"/>
          <w:sz w:val="40"/>
          <w:szCs w:val="40"/>
        </w:rPr>
        <w:lastRenderedPageBreak/>
        <w:t>AGENDA</w:t>
      </w:r>
    </w:p>
    <w:p w14:paraId="10FAEB48" w14:textId="528D35E3" w:rsidR="00E85C66" w:rsidRDefault="00E85C66" w:rsidP="00E85C66">
      <w:pPr>
        <w:pStyle w:val="Heading1"/>
        <w:spacing w:before="300" w:after="150"/>
      </w:pPr>
      <w:r>
        <w:rPr>
          <w:rFonts w:ascii="Calibri" w:eastAsia="Calibri" w:hAnsi="Calibri" w:cs="Calibri"/>
          <w:b/>
          <w:bCs/>
          <w:sz w:val="26"/>
          <w:szCs w:val="26"/>
        </w:rPr>
        <w:t xml:space="preserve">DAY 1 – </w:t>
      </w:r>
      <w:r w:rsidR="00174B66">
        <w:rPr>
          <w:rFonts w:ascii="Calibri" w:eastAsia="Calibri" w:hAnsi="Calibri" w:cs="Calibri"/>
          <w:b/>
          <w:bCs/>
          <w:sz w:val="26"/>
          <w:szCs w:val="26"/>
        </w:rPr>
        <w:t>Monday</w:t>
      </w:r>
      <w:r>
        <w:rPr>
          <w:rFonts w:ascii="Calibri" w:eastAsia="Calibri" w:hAnsi="Calibri" w:cs="Calibri"/>
          <w:b/>
          <w:bCs/>
          <w:sz w:val="26"/>
          <w:szCs w:val="26"/>
        </w:rPr>
        <w:t>, 2</w:t>
      </w:r>
      <w:r w:rsidR="00174B66">
        <w:rPr>
          <w:rFonts w:ascii="Calibri" w:eastAsia="Calibri" w:hAnsi="Calibri" w:cs="Calibri"/>
          <w:b/>
          <w:bCs/>
          <w:sz w:val="26"/>
          <w:szCs w:val="26"/>
        </w:rPr>
        <w:t>3</w:t>
      </w:r>
      <w:r>
        <w:rPr>
          <w:rFonts w:ascii="Calibri" w:eastAsia="Calibri" w:hAnsi="Calibri" w:cs="Calibri"/>
          <w:b/>
          <w:bCs/>
          <w:sz w:val="26"/>
          <w:szCs w:val="26"/>
        </w:rPr>
        <w:t xml:space="preserve"> November 2026</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71"/>
        <w:gridCol w:w="8930"/>
      </w:tblGrid>
      <w:tr w:rsidR="00E85C66" w14:paraId="0BFBAC92" w14:textId="77777777" w:rsidTr="00D6746B">
        <w:trPr>
          <w:tblHeader/>
        </w:trPr>
        <w:tc>
          <w:tcPr>
            <w:tcW w:w="1271" w:type="dxa"/>
            <w:shd w:val="clear" w:color="auto" w:fill="1F4E5F"/>
            <w:tcMar>
              <w:top w:w="80" w:type="dxa"/>
              <w:left w:w="100" w:type="dxa"/>
              <w:bottom w:w="80" w:type="dxa"/>
              <w:right w:w="100" w:type="dxa"/>
            </w:tcMar>
            <w:vAlign w:val="center"/>
          </w:tcPr>
          <w:p w14:paraId="0520D571" w14:textId="77777777" w:rsidR="00E85C66" w:rsidRDefault="00E85C66" w:rsidP="00D6746B">
            <w:pPr>
              <w:spacing w:after="60"/>
            </w:pPr>
            <w:r>
              <w:rPr>
                <w:rFonts w:ascii="Calibri" w:eastAsia="Calibri" w:hAnsi="Calibri" w:cs="Calibri"/>
                <w:b/>
                <w:bCs/>
                <w:color w:val="FFFFFF"/>
              </w:rPr>
              <w:t>TIME</w:t>
            </w:r>
          </w:p>
        </w:tc>
        <w:tc>
          <w:tcPr>
            <w:tcW w:w="8930" w:type="dxa"/>
            <w:shd w:val="clear" w:color="auto" w:fill="1F4E5F"/>
            <w:tcMar>
              <w:top w:w="80" w:type="dxa"/>
              <w:left w:w="100" w:type="dxa"/>
              <w:bottom w:w="80" w:type="dxa"/>
              <w:right w:w="100" w:type="dxa"/>
            </w:tcMar>
            <w:vAlign w:val="center"/>
          </w:tcPr>
          <w:p w14:paraId="57A910F0" w14:textId="77777777" w:rsidR="00E85C66" w:rsidRDefault="00E85C66" w:rsidP="00D6746B">
            <w:pPr>
              <w:spacing w:after="60"/>
            </w:pPr>
            <w:r>
              <w:rPr>
                <w:rFonts w:ascii="Calibri" w:eastAsia="Calibri" w:hAnsi="Calibri" w:cs="Calibri"/>
                <w:b/>
                <w:bCs/>
                <w:color w:val="FFFFFF"/>
              </w:rPr>
              <w:t>SESSION</w:t>
            </w:r>
          </w:p>
        </w:tc>
      </w:tr>
      <w:tr w:rsidR="00E85C66" w14:paraId="309217F7" w14:textId="77777777" w:rsidTr="00D6746B">
        <w:trPr>
          <w:cantSplit/>
          <w:trHeight w:val="20"/>
        </w:trPr>
        <w:tc>
          <w:tcPr>
            <w:tcW w:w="1271" w:type="dxa"/>
            <w:tcMar>
              <w:top w:w="80" w:type="dxa"/>
              <w:left w:w="100" w:type="dxa"/>
              <w:bottom w:w="80" w:type="dxa"/>
              <w:right w:w="100" w:type="dxa"/>
            </w:tcMar>
            <w:vAlign w:val="center"/>
          </w:tcPr>
          <w:p w14:paraId="5118074C" w14:textId="77777777" w:rsidR="005660D4" w:rsidRDefault="00ED4C7E" w:rsidP="008538B6">
            <w:pPr>
              <w:jc w:val="both"/>
            </w:pPr>
            <w:r>
              <w:rPr>
                <w:rFonts w:ascii="Calibri" w:eastAsia="Calibri" w:hAnsi="Calibri" w:cs="Calibri"/>
                <w:b/>
                <w:bCs/>
              </w:rPr>
              <w:t>09:00–09:15</w:t>
            </w:r>
          </w:p>
        </w:tc>
        <w:tc>
          <w:tcPr>
            <w:tcW w:w="8930" w:type="dxa"/>
            <w:tcMar>
              <w:top w:w="80" w:type="dxa"/>
              <w:left w:w="100" w:type="dxa"/>
              <w:bottom w:w="80" w:type="dxa"/>
              <w:right w:w="100" w:type="dxa"/>
            </w:tcMar>
            <w:vAlign w:val="center"/>
          </w:tcPr>
          <w:p w14:paraId="21DCD989" w14:textId="77777777" w:rsidR="005660D4" w:rsidRDefault="00ED4C7E" w:rsidP="008538B6">
            <w:pPr>
              <w:jc w:val="both"/>
            </w:pPr>
            <w:r>
              <w:rPr>
                <w:rFonts w:ascii="Calibri" w:eastAsia="Calibri" w:hAnsi="Calibri" w:cs="Calibri"/>
                <w:b/>
                <w:bCs/>
              </w:rPr>
              <w:t>Registration and arrival of participants</w:t>
            </w:r>
          </w:p>
        </w:tc>
      </w:tr>
      <w:tr w:rsidR="00E85C66" w14:paraId="415E1E4F" w14:textId="77777777" w:rsidTr="00D6746B">
        <w:trPr>
          <w:cantSplit/>
          <w:trHeight w:val="20"/>
        </w:trPr>
        <w:tc>
          <w:tcPr>
            <w:tcW w:w="1271" w:type="dxa"/>
            <w:tcMar>
              <w:top w:w="80" w:type="dxa"/>
              <w:left w:w="100" w:type="dxa"/>
              <w:bottom w:w="80" w:type="dxa"/>
              <w:right w:w="100" w:type="dxa"/>
            </w:tcMar>
            <w:vAlign w:val="center"/>
          </w:tcPr>
          <w:p w14:paraId="6FAE253C" w14:textId="77777777" w:rsidR="005660D4" w:rsidRDefault="00ED4C7E" w:rsidP="008538B6">
            <w:pPr>
              <w:jc w:val="both"/>
            </w:pPr>
            <w:r>
              <w:rPr>
                <w:rFonts w:ascii="Calibri" w:eastAsia="Calibri" w:hAnsi="Calibri" w:cs="Calibri"/>
                <w:b/>
                <w:bCs/>
              </w:rPr>
              <w:t>09:15–09:30</w:t>
            </w:r>
          </w:p>
        </w:tc>
        <w:tc>
          <w:tcPr>
            <w:tcW w:w="8930" w:type="dxa"/>
            <w:tcMar>
              <w:top w:w="80" w:type="dxa"/>
              <w:left w:w="100" w:type="dxa"/>
              <w:bottom w:w="80" w:type="dxa"/>
              <w:right w:w="100" w:type="dxa"/>
            </w:tcMar>
            <w:vAlign w:val="center"/>
          </w:tcPr>
          <w:p w14:paraId="06D76C15" w14:textId="77777777" w:rsidR="005660D4" w:rsidRDefault="00ED4C7E" w:rsidP="008538B6">
            <w:pPr>
              <w:jc w:val="both"/>
            </w:pPr>
            <w:r>
              <w:rPr>
                <w:rFonts w:ascii="Calibri" w:eastAsia="Calibri" w:hAnsi="Calibri" w:cs="Calibri"/>
                <w:b/>
                <w:bCs/>
              </w:rPr>
              <w:t>Opening Remarks</w:t>
            </w:r>
          </w:p>
          <w:p w14:paraId="115A09B8" w14:textId="77777777" w:rsidR="005660D4" w:rsidRDefault="00ED4C7E" w:rsidP="008538B6">
            <w:pPr>
              <w:jc w:val="both"/>
            </w:pPr>
            <w:r>
              <w:rPr>
                <w:rFonts w:ascii="Calibri" w:eastAsia="Calibri" w:hAnsi="Calibri" w:cs="Calibri"/>
                <w:i/>
                <w:iCs/>
              </w:rPr>
              <w:t xml:space="preserve">TBC, </w:t>
            </w:r>
            <w:proofErr w:type="spellStart"/>
            <w:r>
              <w:rPr>
                <w:rFonts w:ascii="Calibri" w:eastAsia="Calibri" w:hAnsi="Calibri" w:cs="Calibri"/>
                <w:i/>
                <w:iCs/>
              </w:rPr>
              <w:t>ReSPA</w:t>
            </w:r>
            <w:proofErr w:type="spellEnd"/>
          </w:p>
          <w:p w14:paraId="46339223" w14:textId="77777777" w:rsidR="005660D4" w:rsidRDefault="00ED4C7E" w:rsidP="008538B6">
            <w:pPr>
              <w:jc w:val="both"/>
            </w:pPr>
            <w:r>
              <w:rPr>
                <w:rFonts w:ascii="Calibri" w:eastAsia="Calibri" w:hAnsi="Calibri" w:cs="Calibri"/>
                <w:i/>
                <w:iCs/>
              </w:rPr>
              <w:t>TBC, Ministry of Finance of the Republic of Croatia</w:t>
            </w:r>
          </w:p>
          <w:p w14:paraId="437A2EB1" w14:textId="5E9067CE" w:rsidR="005660D4" w:rsidRDefault="00ED4C7E" w:rsidP="008538B6">
            <w:pPr>
              <w:jc w:val="both"/>
            </w:pPr>
            <w:r>
              <w:rPr>
                <w:rFonts w:ascii="Calibri" w:eastAsia="Calibri" w:hAnsi="Calibri" w:cs="Calibri"/>
                <w:i/>
                <w:iCs/>
              </w:rPr>
              <w:t>TBC, IMF</w:t>
            </w:r>
          </w:p>
        </w:tc>
      </w:tr>
      <w:tr w:rsidR="00E85C66" w14:paraId="0B29BB21" w14:textId="77777777" w:rsidTr="00D6746B">
        <w:trPr>
          <w:cantSplit/>
          <w:trHeight w:val="20"/>
        </w:trPr>
        <w:tc>
          <w:tcPr>
            <w:tcW w:w="1271" w:type="dxa"/>
            <w:tcMar>
              <w:top w:w="80" w:type="dxa"/>
              <w:left w:w="100" w:type="dxa"/>
              <w:bottom w:w="80" w:type="dxa"/>
              <w:right w:w="100" w:type="dxa"/>
            </w:tcMar>
            <w:vAlign w:val="center"/>
          </w:tcPr>
          <w:p w14:paraId="52BD86A7" w14:textId="77777777" w:rsidR="005660D4" w:rsidRDefault="00ED4C7E" w:rsidP="008538B6">
            <w:pPr>
              <w:jc w:val="both"/>
            </w:pPr>
            <w:r>
              <w:rPr>
                <w:rFonts w:ascii="Calibri" w:eastAsia="Calibri" w:hAnsi="Calibri" w:cs="Calibri"/>
                <w:b/>
                <w:bCs/>
              </w:rPr>
              <w:t>09:30–10:15</w:t>
            </w:r>
          </w:p>
        </w:tc>
        <w:tc>
          <w:tcPr>
            <w:tcW w:w="8930" w:type="dxa"/>
            <w:tcMar>
              <w:top w:w="80" w:type="dxa"/>
              <w:left w:w="100" w:type="dxa"/>
              <w:bottom w:w="80" w:type="dxa"/>
              <w:right w:w="100" w:type="dxa"/>
            </w:tcMar>
            <w:vAlign w:val="center"/>
          </w:tcPr>
          <w:p w14:paraId="4BE39939" w14:textId="77777777" w:rsidR="005660D4" w:rsidRDefault="00ED4C7E" w:rsidP="008538B6">
            <w:pPr>
              <w:jc w:val="both"/>
            </w:pPr>
            <w:r>
              <w:rPr>
                <w:rFonts w:ascii="Calibri" w:eastAsia="Calibri" w:hAnsi="Calibri" w:cs="Calibri"/>
                <w:b/>
                <w:bCs/>
              </w:rPr>
              <w:t>Session 1 – Keynote: Spending Smarter – Why Public Investment Efficiency Matters Now</w:t>
            </w:r>
          </w:p>
          <w:p w14:paraId="7579F067" w14:textId="77777777" w:rsidR="005660D4" w:rsidRDefault="00ED4C7E" w:rsidP="008538B6">
            <w:pPr>
              <w:jc w:val="both"/>
            </w:pPr>
            <w:r>
              <w:rPr>
                <w:rFonts w:ascii="Calibri" w:eastAsia="Calibri" w:hAnsi="Calibri" w:cs="Calibri"/>
                <w:i/>
                <w:iCs/>
              </w:rPr>
              <w:t>Speaker: Jamie Carter, Regional Advisor, Fiscal Affairs Department, IMF</w:t>
            </w:r>
          </w:p>
          <w:p w14:paraId="6208914F" w14:textId="77777777" w:rsidR="005660D4" w:rsidRDefault="005660D4" w:rsidP="008538B6">
            <w:pPr>
              <w:jc w:val="both"/>
            </w:pPr>
          </w:p>
          <w:p w14:paraId="7DBB6122" w14:textId="77777777" w:rsidR="005660D4" w:rsidRDefault="00ED4C7E" w:rsidP="008538B6">
            <w:pPr>
              <w:jc w:val="both"/>
            </w:pPr>
            <w:r>
              <w:rPr>
                <w:rFonts w:ascii="Calibri" w:eastAsia="Calibri" w:hAnsi="Calibri" w:cs="Calibri"/>
              </w:rPr>
              <w:t xml:space="preserve">What the IMF PIMAs show for the region: PIM laws and procedures have improved, but appraisal, selection, medium-term budgeting and portfolio management </w:t>
            </w:r>
            <w:proofErr w:type="gramStart"/>
            <w:r>
              <w:rPr>
                <w:rFonts w:ascii="Calibri" w:eastAsia="Calibri" w:hAnsi="Calibri" w:cs="Calibri"/>
              </w:rPr>
              <w:t>lag behind</w:t>
            </w:r>
            <w:proofErr w:type="gramEnd"/>
            <w:r>
              <w:rPr>
                <w:rFonts w:ascii="Calibri" w:eastAsia="Calibri" w:hAnsi="Calibri" w:cs="Calibri"/>
              </w:rPr>
              <w:t>. The keynote also covers where the IMF is heading after its 2026 evaluation of PIMA: a stronger focus on project delivery, investment by state-owned enterprises, and climate. The session closes with the live results of the pre-workshop self-assessment, presented as a regional heatmap.</w:t>
            </w:r>
          </w:p>
          <w:p w14:paraId="188A429A" w14:textId="77777777" w:rsidR="005660D4" w:rsidRDefault="00ED4C7E" w:rsidP="008538B6">
            <w:pPr>
              <w:jc w:val="both"/>
            </w:pPr>
            <w:r>
              <w:rPr>
                <w:rFonts w:ascii="Calibri" w:eastAsia="Calibri" w:hAnsi="Calibri" w:cs="Calibri"/>
                <w:i/>
                <w:iCs/>
              </w:rPr>
              <w:t>Keynote &amp; Live Heatmap</w:t>
            </w:r>
          </w:p>
        </w:tc>
      </w:tr>
      <w:tr w:rsidR="00E85C66" w14:paraId="141411AE" w14:textId="77777777" w:rsidTr="00D6746B">
        <w:trPr>
          <w:cantSplit/>
          <w:trHeight w:val="20"/>
        </w:trPr>
        <w:tc>
          <w:tcPr>
            <w:tcW w:w="1271" w:type="dxa"/>
            <w:shd w:val="clear" w:color="auto" w:fill="EDEDED"/>
            <w:tcMar>
              <w:top w:w="80" w:type="dxa"/>
              <w:left w:w="100" w:type="dxa"/>
              <w:bottom w:w="80" w:type="dxa"/>
              <w:right w:w="100" w:type="dxa"/>
            </w:tcMar>
            <w:vAlign w:val="center"/>
          </w:tcPr>
          <w:p w14:paraId="5AFCA8C5" w14:textId="77777777" w:rsidR="005660D4" w:rsidRDefault="00ED4C7E" w:rsidP="008538B6">
            <w:pPr>
              <w:jc w:val="both"/>
            </w:pPr>
            <w:r>
              <w:rPr>
                <w:rFonts w:ascii="Calibri" w:eastAsia="Calibri" w:hAnsi="Calibri" w:cs="Calibri"/>
                <w:b/>
                <w:bCs/>
                <w:i/>
                <w:iCs/>
              </w:rPr>
              <w:t>10:15–10:45</w:t>
            </w:r>
          </w:p>
        </w:tc>
        <w:tc>
          <w:tcPr>
            <w:tcW w:w="8930" w:type="dxa"/>
            <w:shd w:val="clear" w:color="auto" w:fill="EDEDED"/>
            <w:tcMar>
              <w:top w:w="80" w:type="dxa"/>
              <w:left w:w="100" w:type="dxa"/>
              <w:bottom w:w="80" w:type="dxa"/>
              <w:right w:w="100" w:type="dxa"/>
            </w:tcMar>
            <w:vAlign w:val="center"/>
          </w:tcPr>
          <w:p w14:paraId="29E367DB" w14:textId="77777777" w:rsidR="005660D4" w:rsidRDefault="00ED4C7E" w:rsidP="008538B6">
            <w:pPr>
              <w:jc w:val="both"/>
            </w:pPr>
            <w:r>
              <w:rPr>
                <w:rFonts w:ascii="Calibri" w:eastAsia="Calibri" w:hAnsi="Calibri" w:cs="Calibri"/>
                <w:i/>
                <w:iCs/>
              </w:rPr>
              <w:t>Coffee Break</w:t>
            </w:r>
          </w:p>
        </w:tc>
      </w:tr>
      <w:tr w:rsidR="00E85C66" w14:paraId="45F03FD3" w14:textId="77777777" w:rsidTr="00D6746B">
        <w:trPr>
          <w:cantSplit/>
          <w:trHeight w:val="20"/>
        </w:trPr>
        <w:tc>
          <w:tcPr>
            <w:tcW w:w="1271" w:type="dxa"/>
            <w:tcMar>
              <w:top w:w="80" w:type="dxa"/>
              <w:left w:w="100" w:type="dxa"/>
              <w:bottom w:w="80" w:type="dxa"/>
              <w:right w:w="100" w:type="dxa"/>
            </w:tcMar>
            <w:vAlign w:val="center"/>
          </w:tcPr>
          <w:p w14:paraId="60F700DF" w14:textId="77777777" w:rsidR="005660D4" w:rsidRDefault="00ED4C7E" w:rsidP="008538B6">
            <w:pPr>
              <w:jc w:val="both"/>
            </w:pPr>
            <w:r>
              <w:rPr>
                <w:rFonts w:ascii="Calibri" w:eastAsia="Calibri" w:hAnsi="Calibri" w:cs="Calibri"/>
                <w:b/>
                <w:bCs/>
              </w:rPr>
              <w:t>10:45–12:15</w:t>
            </w:r>
          </w:p>
        </w:tc>
        <w:tc>
          <w:tcPr>
            <w:tcW w:w="8930" w:type="dxa"/>
            <w:tcMar>
              <w:top w:w="80" w:type="dxa"/>
              <w:left w:w="100" w:type="dxa"/>
              <w:bottom w:w="80" w:type="dxa"/>
              <w:right w:w="100" w:type="dxa"/>
            </w:tcMar>
            <w:vAlign w:val="center"/>
          </w:tcPr>
          <w:p w14:paraId="7EE961D8" w14:textId="77777777" w:rsidR="005660D4" w:rsidRDefault="00ED4C7E" w:rsidP="008538B6">
            <w:pPr>
              <w:jc w:val="both"/>
            </w:pPr>
            <w:r>
              <w:rPr>
                <w:rFonts w:ascii="Calibri" w:eastAsia="Calibri" w:hAnsi="Calibri" w:cs="Calibri"/>
                <w:b/>
                <w:bCs/>
              </w:rPr>
              <w:t>Session 2 – Lightning Round: Where We Stand on PIM Reform</w:t>
            </w:r>
          </w:p>
          <w:p w14:paraId="5A5B9ED1" w14:textId="77777777" w:rsidR="005660D4" w:rsidRDefault="00ED4C7E" w:rsidP="008538B6">
            <w:pPr>
              <w:jc w:val="both"/>
            </w:pPr>
            <w:r>
              <w:rPr>
                <w:rFonts w:ascii="Calibri" w:eastAsia="Calibri" w:hAnsi="Calibri" w:cs="Calibri"/>
                <w:i/>
                <w:iCs/>
              </w:rPr>
              <w:t>Moderator: TBC, Fiscal Affairs Department, IMF</w:t>
            </w:r>
          </w:p>
          <w:p w14:paraId="07E8A1CE" w14:textId="77777777" w:rsidR="005660D4" w:rsidRDefault="005660D4" w:rsidP="008538B6">
            <w:pPr>
              <w:jc w:val="both"/>
            </w:pPr>
          </w:p>
          <w:p w14:paraId="02940234" w14:textId="77777777" w:rsidR="005660D4" w:rsidRDefault="00ED4C7E" w:rsidP="008538B6">
            <w:pPr>
              <w:jc w:val="both"/>
            </w:pPr>
            <w:r>
              <w:rPr>
                <w:rFonts w:ascii="Calibri" w:eastAsia="Calibri" w:hAnsi="Calibri" w:cs="Calibri"/>
              </w:rPr>
              <w:t>Representatives of the nine participating administrations each have 5 minutes and three slides: one achievement, one bottleneck and one request for support. The moderator then leads a discussion on patterns across the region, such as central PIM units, feasibility study rules, PIM information systems and project pipelines.</w:t>
            </w:r>
          </w:p>
          <w:p w14:paraId="0325385F" w14:textId="77777777" w:rsidR="005660D4" w:rsidRDefault="00ED4C7E" w:rsidP="008538B6">
            <w:pPr>
              <w:jc w:val="both"/>
            </w:pPr>
            <w:r>
              <w:rPr>
                <w:rFonts w:ascii="Calibri" w:eastAsia="Calibri" w:hAnsi="Calibri" w:cs="Calibri"/>
                <w:i/>
                <w:iCs/>
              </w:rPr>
              <w:t>Lightning Presentations &amp; Moderated Discussion</w:t>
            </w:r>
          </w:p>
        </w:tc>
      </w:tr>
      <w:tr w:rsidR="00E85C66" w14:paraId="6DB13147" w14:textId="77777777" w:rsidTr="00D6746B">
        <w:trPr>
          <w:cantSplit/>
          <w:trHeight w:val="20"/>
        </w:trPr>
        <w:tc>
          <w:tcPr>
            <w:tcW w:w="1271" w:type="dxa"/>
            <w:shd w:val="clear" w:color="auto" w:fill="EDEDED"/>
            <w:tcMar>
              <w:top w:w="80" w:type="dxa"/>
              <w:left w:w="100" w:type="dxa"/>
              <w:bottom w:w="80" w:type="dxa"/>
              <w:right w:w="100" w:type="dxa"/>
            </w:tcMar>
            <w:vAlign w:val="center"/>
          </w:tcPr>
          <w:p w14:paraId="2CCD4BAE" w14:textId="77777777" w:rsidR="005660D4" w:rsidRDefault="00ED4C7E" w:rsidP="008538B6">
            <w:pPr>
              <w:jc w:val="both"/>
            </w:pPr>
            <w:r>
              <w:rPr>
                <w:rFonts w:ascii="Calibri" w:eastAsia="Calibri" w:hAnsi="Calibri" w:cs="Calibri"/>
                <w:b/>
                <w:bCs/>
                <w:i/>
                <w:iCs/>
              </w:rPr>
              <w:t>12:15–13:15</w:t>
            </w:r>
          </w:p>
        </w:tc>
        <w:tc>
          <w:tcPr>
            <w:tcW w:w="8930" w:type="dxa"/>
            <w:shd w:val="clear" w:color="auto" w:fill="EDEDED"/>
            <w:tcMar>
              <w:top w:w="80" w:type="dxa"/>
              <w:left w:w="100" w:type="dxa"/>
              <w:bottom w:w="80" w:type="dxa"/>
              <w:right w:w="100" w:type="dxa"/>
            </w:tcMar>
            <w:vAlign w:val="center"/>
          </w:tcPr>
          <w:p w14:paraId="5ADD0FBA" w14:textId="77777777" w:rsidR="005660D4" w:rsidRDefault="00ED4C7E" w:rsidP="008538B6">
            <w:pPr>
              <w:jc w:val="both"/>
            </w:pPr>
            <w:r>
              <w:rPr>
                <w:rFonts w:ascii="Calibri" w:eastAsia="Calibri" w:hAnsi="Calibri" w:cs="Calibri"/>
                <w:i/>
                <w:iCs/>
              </w:rPr>
              <w:t>Lunch</w:t>
            </w:r>
          </w:p>
        </w:tc>
      </w:tr>
      <w:tr w:rsidR="00E85C66" w14:paraId="475E1236" w14:textId="77777777" w:rsidTr="00D6746B">
        <w:trPr>
          <w:cantSplit/>
          <w:trHeight w:val="20"/>
        </w:trPr>
        <w:tc>
          <w:tcPr>
            <w:tcW w:w="1271" w:type="dxa"/>
            <w:tcMar>
              <w:top w:w="80" w:type="dxa"/>
              <w:left w:w="100" w:type="dxa"/>
              <w:bottom w:w="80" w:type="dxa"/>
              <w:right w:w="100" w:type="dxa"/>
            </w:tcMar>
            <w:vAlign w:val="center"/>
          </w:tcPr>
          <w:p w14:paraId="41BC6169" w14:textId="77777777" w:rsidR="005660D4" w:rsidRDefault="00ED4C7E" w:rsidP="008538B6">
            <w:pPr>
              <w:jc w:val="both"/>
            </w:pPr>
            <w:r>
              <w:rPr>
                <w:rFonts w:ascii="Calibri" w:eastAsia="Calibri" w:hAnsi="Calibri" w:cs="Calibri"/>
                <w:b/>
                <w:bCs/>
              </w:rPr>
              <w:t>13:15–14:30</w:t>
            </w:r>
          </w:p>
        </w:tc>
        <w:tc>
          <w:tcPr>
            <w:tcW w:w="8930" w:type="dxa"/>
            <w:tcMar>
              <w:top w:w="80" w:type="dxa"/>
              <w:left w:w="100" w:type="dxa"/>
              <w:bottom w:w="80" w:type="dxa"/>
              <w:right w:w="100" w:type="dxa"/>
            </w:tcMar>
            <w:vAlign w:val="center"/>
          </w:tcPr>
          <w:p w14:paraId="72F1D348" w14:textId="77777777" w:rsidR="005660D4" w:rsidRDefault="00ED4C7E" w:rsidP="008538B6">
            <w:pPr>
              <w:jc w:val="both"/>
            </w:pPr>
            <w:r>
              <w:rPr>
                <w:rFonts w:ascii="Calibri" w:eastAsia="Calibri" w:hAnsi="Calibri" w:cs="Calibri"/>
                <w:b/>
                <w:bCs/>
              </w:rPr>
              <w:t>Session 3 – One Door into the Budget: The Single Project Pipeline</w:t>
            </w:r>
          </w:p>
          <w:p w14:paraId="2D94E872" w14:textId="16731D47" w:rsidR="005660D4" w:rsidRDefault="00ED4C7E" w:rsidP="009C139B">
            <w:pPr>
              <w:jc w:val="both"/>
            </w:pPr>
            <w:r>
              <w:rPr>
                <w:rFonts w:ascii="Calibri" w:eastAsia="Calibri" w:hAnsi="Calibri" w:cs="Calibri"/>
                <w:i/>
                <w:iCs/>
              </w:rPr>
              <w:t xml:space="preserve">Speakers: TBC, OECD/SIGMA; </w:t>
            </w:r>
          </w:p>
          <w:p w14:paraId="44A63B13" w14:textId="77777777" w:rsidR="005660D4" w:rsidRDefault="005660D4" w:rsidP="008538B6">
            <w:pPr>
              <w:jc w:val="both"/>
            </w:pPr>
          </w:p>
          <w:p w14:paraId="383523B1" w14:textId="77777777" w:rsidR="005660D4" w:rsidRDefault="00ED4C7E" w:rsidP="008538B6">
            <w:pPr>
              <w:jc w:val="both"/>
            </w:pPr>
            <w:r>
              <w:rPr>
                <w:rFonts w:ascii="Calibri" w:eastAsia="Calibri" w:hAnsi="Calibri" w:cs="Calibri"/>
              </w:rPr>
              <w:t>Presentation of SIGMA Paper No. 80 (July 2026): a single, government-wide pipeline of appraised projects that covers all sectors and funding sources, and 11 principles for running it. These include screening ideas early, independent quality review at entry, funding decisions within the medium-term budget, and the freedom to stop projects despite sunk costs. Ukraine and Albania share what works in practice and what does not.</w:t>
            </w:r>
          </w:p>
          <w:p w14:paraId="69A70455" w14:textId="205768A8" w:rsidR="005660D4" w:rsidRDefault="00ED4C7E" w:rsidP="008538B6">
            <w:pPr>
              <w:jc w:val="both"/>
            </w:pPr>
            <w:r>
              <w:rPr>
                <w:rFonts w:ascii="Calibri" w:eastAsia="Calibri" w:hAnsi="Calibri" w:cs="Calibri"/>
                <w:i/>
                <w:iCs/>
              </w:rPr>
              <w:t>Presentations &amp; Discussion</w:t>
            </w:r>
          </w:p>
        </w:tc>
      </w:tr>
      <w:tr w:rsidR="00E85C66" w14:paraId="72DA858B" w14:textId="77777777" w:rsidTr="00D6746B">
        <w:trPr>
          <w:cantSplit/>
          <w:trHeight w:val="20"/>
        </w:trPr>
        <w:tc>
          <w:tcPr>
            <w:tcW w:w="1271" w:type="dxa"/>
            <w:shd w:val="clear" w:color="auto" w:fill="EDEDED"/>
            <w:tcMar>
              <w:top w:w="80" w:type="dxa"/>
              <w:left w:w="100" w:type="dxa"/>
              <w:bottom w:w="80" w:type="dxa"/>
              <w:right w:w="100" w:type="dxa"/>
            </w:tcMar>
            <w:vAlign w:val="center"/>
          </w:tcPr>
          <w:p w14:paraId="7EED7994" w14:textId="77777777" w:rsidR="005660D4" w:rsidRDefault="00ED4C7E" w:rsidP="00970177">
            <w:pPr>
              <w:jc w:val="both"/>
            </w:pPr>
            <w:r>
              <w:rPr>
                <w:rFonts w:ascii="Calibri" w:eastAsia="Calibri" w:hAnsi="Calibri" w:cs="Calibri"/>
                <w:b/>
                <w:bCs/>
                <w:i/>
                <w:iCs/>
              </w:rPr>
              <w:t>14:30–14:45</w:t>
            </w:r>
          </w:p>
        </w:tc>
        <w:tc>
          <w:tcPr>
            <w:tcW w:w="8930" w:type="dxa"/>
            <w:shd w:val="clear" w:color="auto" w:fill="EDEDED"/>
            <w:tcMar>
              <w:top w:w="80" w:type="dxa"/>
              <w:left w:w="100" w:type="dxa"/>
              <w:bottom w:w="80" w:type="dxa"/>
              <w:right w:w="100" w:type="dxa"/>
            </w:tcMar>
            <w:vAlign w:val="center"/>
          </w:tcPr>
          <w:p w14:paraId="775E2C68" w14:textId="77777777" w:rsidR="005660D4" w:rsidRDefault="00ED4C7E" w:rsidP="00970177">
            <w:pPr>
              <w:jc w:val="both"/>
            </w:pPr>
            <w:r>
              <w:rPr>
                <w:rFonts w:ascii="Calibri" w:eastAsia="Calibri" w:hAnsi="Calibri" w:cs="Calibri"/>
                <w:i/>
                <w:iCs/>
              </w:rPr>
              <w:t>Coffee Break</w:t>
            </w:r>
          </w:p>
        </w:tc>
      </w:tr>
      <w:tr w:rsidR="00E85C66" w14:paraId="5330B58C" w14:textId="77777777" w:rsidTr="00D6746B">
        <w:trPr>
          <w:cantSplit/>
          <w:trHeight w:val="20"/>
        </w:trPr>
        <w:tc>
          <w:tcPr>
            <w:tcW w:w="1271" w:type="dxa"/>
            <w:tcMar>
              <w:top w:w="80" w:type="dxa"/>
              <w:left w:w="100" w:type="dxa"/>
              <w:bottom w:w="80" w:type="dxa"/>
              <w:right w:w="100" w:type="dxa"/>
            </w:tcMar>
            <w:vAlign w:val="center"/>
          </w:tcPr>
          <w:p w14:paraId="444217C3" w14:textId="77777777" w:rsidR="005660D4" w:rsidRDefault="00ED4C7E" w:rsidP="00835FC3">
            <w:pPr>
              <w:jc w:val="both"/>
            </w:pPr>
            <w:r>
              <w:rPr>
                <w:rFonts w:ascii="Calibri" w:eastAsia="Calibri" w:hAnsi="Calibri" w:cs="Calibri"/>
                <w:b/>
                <w:bCs/>
              </w:rPr>
              <w:t>14:45–16:15</w:t>
            </w:r>
          </w:p>
        </w:tc>
        <w:tc>
          <w:tcPr>
            <w:tcW w:w="8930" w:type="dxa"/>
            <w:tcMar>
              <w:top w:w="80" w:type="dxa"/>
              <w:left w:w="100" w:type="dxa"/>
              <w:bottom w:w="80" w:type="dxa"/>
              <w:right w:w="100" w:type="dxa"/>
            </w:tcMar>
            <w:vAlign w:val="center"/>
          </w:tcPr>
          <w:p w14:paraId="36966DD4" w14:textId="77777777" w:rsidR="005660D4" w:rsidRDefault="00ED4C7E" w:rsidP="00835FC3">
            <w:pPr>
              <w:jc w:val="both"/>
            </w:pPr>
            <w:r>
              <w:rPr>
                <w:rFonts w:ascii="Calibri" w:eastAsia="Calibri" w:hAnsi="Calibri" w:cs="Calibri"/>
                <w:b/>
                <w:bCs/>
              </w:rPr>
              <w:t>Session 4 – Project Autopsy Clinic: Where Did It Go Wrong?</w:t>
            </w:r>
          </w:p>
          <w:p w14:paraId="44003DA0" w14:textId="77777777" w:rsidR="005660D4" w:rsidRDefault="00ED4C7E" w:rsidP="00835FC3">
            <w:pPr>
              <w:jc w:val="both"/>
            </w:pPr>
            <w:r>
              <w:rPr>
                <w:rFonts w:ascii="Calibri" w:eastAsia="Calibri" w:hAnsi="Calibri" w:cs="Calibri"/>
                <w:i/>
                <w:iCs/>
              </w:rPr>
              <w:t>Case presentation: TBC, Finance Directorate of Brčko District, Bosnia and Herzegovina</w:t>
            </w:r>
          </w:p>
          <w:p w14:paraId="5848F445" w14:textId="77777777" w:rsidR="005660D4" w:rsidRDefault="00ED4C7E" w:rsidP="00835FC3">
            <w:pPr>
              <w:jc w:val="both"/>
            </w:pPr>
            <w:r>
              <w:rPr>
                <w:rFonts w:ascii="Calibri" w:eastAsia="Calibri" w:hAnsi="Calibri" w:cs="Calibri"/>
                <w:i/>
                <w:iCs/>
              </w:rPr>
              <w:t>Facilitator: TBC, Fiscal Affairs Department, IMF</w:t>
            </w:r>
          </w:p>
          <w:p w14:paraId="01CFF069" w14:textId="77777777" w:rsidR="005660D4" w:rsidRDefault="005660D4" w:rsidP="00835FC3">
            <w:pPr>
              <w:jc w:val="both"/>
            </w:pPr>
          </w:p>
          <w:p w14:paraId="21468A7E" w14:textId="77777777" w:rsidR="005660D4" w:rsidRDefault="00ED4C7E" w:rsidP="00835FC3">
            <w:pPr>
              <w:jc w:val="both"/>
            </w:pPr>
            <w:r>
              <w:rPr>
                <w:rFonts w:ascii="Calibri" w:eastAsia="Calibri" w:hAnsi="Calibri" w:cs="Calibri"/>
              </w:rPr>
              <w:t>A real infrastructure project that ran over time or budget is presented, based on its ex-post audit. Groups trace it through each stage (concept, appraisal, selection, budgeting, procurement and implementation), identify where it went wrong, and say which pipeline principle would have caught the problem. Each group reports its main lesson in plenary.</w:t>
            </w:r>
          </w:p>
          <w:p w14:paraId="2A3BCCE8" w14:textId="77777777" w:rsidR="005660D4" w:rsidRDefault="00ED4C7E" w:rsidP="00835FC3">
            <w:pPr>
              <w:jc w:val="both"/>
            </w:pPr>
            <w:r>
              <w:rPr>
                <w:rFonts w:ascii="Calibri" w:eastAsia="Calibri" w:hAnsi="Calibri" w:cs="Calibri"/>
                <w:i/>
                <w:iCs/>
              </w:rPr>
              <w:t>Case Presentation &amp; Group Work</w:t>
            </w:r>
          </w:p>
        </w:tc>
      </w:tr>
      <w:tr w:rsidR="00E85C66" w14:paraId="19E6F9D7" w14:textId="77777777" w:rsidTr="00D6746B">
        <w:trPr>
          <w:cantSplit/>
          <w:trHeight w:val="20"/>
        </w:trPr>
        <w:tc>
          <w:tcPr>
            <w:tcW w:w="1271" w:type="dxa"/>
            <w:tcMar>
              <w:top w:w="80" w:type="dxa"/>
              <w:left w:w="100" w:type="dxa"/>
              <w:bottom w:w="80" w:type="dxa"/>
              <w:right w:w="100" w:type="dxa"/>
            </w:tcMar>
            <w:vAlign w:val="center"/>
          </w:tcPr>
          <w:p w14:paraId="0EB1B0D3" w14:textId="77777777" w:rsidR="005660D4" w:rsidRDefault="00ED4C7E" w:rsidP="00835FC3">
            <w:pPr>
              <w:jc w:val="both"/>
            </w:pPr>
            <w:r>
              <w:rPr>
                <w:rFonts w:ascii="Calibri" w:eastAsia="Calibri" w:hAnsi="Calibri" w:cs="Calibri"/>
                <w:b/>
                <w:bCs/>
              </w:rPr>
              <w:t>16:15–16:30</w:t>
            </w:r>
          </w:p>
        </w:tc>
        <w:tc>
          <w:tcPr>
            <w:tcW w:w="8930" w:type="dxa"/>
            <w:tcMar>
              <w:top w:w="80" w:type="dxa"/>
              <w:left w:w="100" w:type="dxa"/>
              <w:bottom w:w="80" w:type="dxa"/>
              <w:right w:w="100" w:type="dxa"/>
            </w:tcMar>
            <w:vAlign w:val="center"/>
          </w:tcPr>
          <w:p w14:paraId="51D956E2" w14:textId="77777777" w:rsidR="005660D4" w:rsidRDefault="00ED4C7E" w:rsidP="00835FC3">
            <w:pPr>
              <w:jc w:val="both"/>
            </w:pPr>
            <w:r>
              <w:rPr>
                <w:rFonts w:ascii="Calibri" w:eastAsia="Calibri" w:hAnsi="Calibri" w:cs="Calibri"/>
                <w:b/>
                <w:bCs/>
              </w:rPr>
              <w:t>Wrap-up of Day 1</w:t>
            </w:r>
          </w:p>
        </w:tc>
      </w:tr>
    </w:tbl>
    <w:p w14:paraId="4D0B697F" w14:textId="1EC6C77B" w:rsidR="00E85C66" w:rsidRDefault="00E85C66" w:rsidP="00835FC3">
      <w:pPr>
        <w:pStyle w:val="Heading1"/>
        <w:spacing w:before="300"/>
        <w:jc w:val="both"/>
      </w:pPr>
      <w:r>
        <w:rPr>
          <w:rFonts w:ascii="Calibri" w:eastAsia="Calibri" w:hAnsi="Calibri" w:cs="Calibri"/>
          <w:b/>
          <w:bCs/>
          <w:sz w:val="26"/>
          <w:szCs w:val="26"/>
        </w:rPr>
        <w:lastRenderedPageBreak/>
        <w:t xml:space="preserve">DAY 2 – </w:t>
      </w:r>
      <w:r w:rsidR="00174B66">
        <w:rPr>
          <w:rFonts w:ascii="Calibri" w:eastAsia="Calibri" w:hAnsi="Calibri" w:cs="Calibri"/>
          <w:b/>
          <w:bCs/>
          <w:sz w:val="26"/>
          <w:szCs w:val="26"/>
        </w:rPr>
        <w:t>Tuesday</w:t>
      </w:r>
      <w:r>
        <w:rPr>
          <w:rFonts w:ascii="Calibri" w:eastAsia="Calibri" w:hAnsi="Calibri" w:cs="Calibri"/>
          <w:b/>
          <w:bCs/>
          <w:sz w:val="26"/>
          <w:szCs w:val="26"/>
        </w:rPr>
        <w:t>, 2</w:t>
      </w:r>
      <w:r w:rsidR="00174B66">
        <w:rPr>
          <w:rFonts w:ascii="Calibri" w:eastAsia="Calibri" w:hAnsi="Calibri" w:cs="Calibri"/>
          <w:b/>
          <w:bCs/>
          <w:sz w:val="26"/>
          <w:szCs w:val="26"/>
        </w:rPr>
        <w:t>4</w:t>
      </w:r>
      <w:r>
        <w:rPr>
          <w:rFonts w:ascii="Calibri" w:eastAsia="Calibri" w:hAnsi="Calibri" w:cs="Calibri"/>
          <w:b/>
          <w:bCs/>
          <w:sz w:val="26"/>
          <w:szCs w:val="26"/>
        </w:rPr>
        <w:t xml:space="preserve"> November 2026</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71"/>
        <w:gridCol w:w="8930"/>
      </w:tblGrid>
      <w:tr w:rsidR="00E85C66" w14:paraId="5A22CEA3" w14:textId="77777777" w:rsidTr="00D6746B">
        <w:trPr>
          <w:tblHeader/>
        </w:trPr>
        <w:tc>
          <w:tcPr>
            <w:tcW w:w="1271" w:type="dxa"/>
            <w:shd w:val="clear" w:color="auto" w:fill="1F4E5F"/>
            <w:tcMar>
              <w:top w:w="80" w:type="dxa"/>
              <w:left w:w="100" w:type="dxa"/>
              <w:bottom w:w="80" w:type="dxa"/>
              <w:right w:w="100" w:type="dxa"/>
            </w:tcMar>
            <w:vAlign w:val="center"/>
          </w:tcPr>
          <w:p w14:paraId="49DB1669" w14:textId="77777777" w:rsidR="00E85C66" w:rsidRDefault="00E85C66" w:rsidP="00835FC3">
            <w:pPr>
              <w:spacing w:after="60"/>
              <w:jc w:val="both"/>
            </w:pPr>
            <w:r>
              <w:rPr>
                <w:rFonts w:ascii="Calibri" w:eastAsia="Calibri" w:hAnsi="Calibri" w:cs="Calibri"/>
                <w:b/>
                <w:bCs/>
                <w:color w:val="FFFFFF"/>
              </w:rPr>
              <w:t>TIME</w:t>
            </w:r>
          </w:p>
        </w:tc>
        <w:tc>
          <w:tcPr>
            <w:tcW w:w="8930" w:type="dxa"/>
            <w:shd w:val="clear" w:color="auto" w:fill="1F4E5F"/>
            <w:tcMar>
              <w:top w:w="80" w:type="dxa"/>
              <w:left w:w="100" w:type="dxa"/>
              <w:bottom w:w="80" w:type="dxa"/>
              <w:right w:w="100" w:type="dxa"/>
            </w:tcMar>
            <w:vAlign w:val="center"/>
          </w:tcPr>
          <w:p w14:paraId="74F79BD9" w14:textId="77777777" w:rsidR="00E85C66" w:rsidRDefault="00E85C66" w:rsidP="00835FC3">
            <w:pPr>
              <w:spacing w:after="60"/>
              <w:jc w:val="both"/>
            </w:pPr>
            <w:r>
              <w:rPr>
                <w:rFonts w:ascii="Calibri" w:eastAsia="Calibri" w:hAnsi="Calibri" w:cs="Calibri"/>
                <w:b/>
                <w:bCs/>
                <w:color w:val="FFFFFF"/>
              </w:rPr>
              <w:t>SESSION</w:t>
            </w:r>
          </w:p>
        </w:tc>
      </w:tr>
      <w:tr w:rsidR="00E85C66" w14:paraId="7EBD4310" w14:textId="77777777" w:rsidTr="00D6746B">
        <w:trPr>
          <w:cantSplit/>
          <w:trHeight w:val="20"/>
        </w:trPr>
        <w:tc>
          <w:tcPr>
            <w:tcW w:w="1271" w:type="dxa"/>
            <w:tcMar>
              <w:top w:w="80" w:type="dxa"/>
              <w:left w:w="100" w:type="dxa"/>
              <w:bottom w:w="80" w:type="dxa"/>
              <w:right w:w="100" w:type="dxa"/>
            </w:tcMar>
            <w:vAlign w:val="center"/>
          </w:tcPr>
          <w:p w14:paraId="045E3855" w14:textId="77777777" w:rsidR="005660D4" w:rsidRDefault="00ED4C7E" w:rsidP="00835FC3">
            <w:pPr>
              <w:jc w:val="both"/>
            </w:pPr>
            <w:r>
              <w:rPr>
                <w:rFonts w:ascii="Calibri" w:eastAsia="Calibri" w:hAnsi="Calibri" w:cs="Calibri"/>
                <w:b/>
                <w:bCs/>
              </w:rPr>
              <w:t>09:00–09:15</w:t>
            </w:r>
          </w:p>
        </w:tc>
        <w:tc>
          <w:tcPr>
            <w:tcW w:w="8930" w:type="dxa"/>
            <w:tcMar>
              <w:top w:w="80" w:type="dxa"/>
              <w:left w:w="100" w:type="dxa"/>
              <w:bottom w:w="80" w:type="dxa"/>
              <w:right w:w="100" w:type="dxa"/>
            </w:tcMar>
            <w:vAlign w:val="center"/>
          </w:tcPr>
          <w:p w14:paraId="2DA3C4AF" w14:textId="77777777" w:rsidR="005660D4" w:rsidRDefault="00ED4C7E" w:rsidP="00835FC3">
            <w:pPr>
              <w:jc w:val="both"/>
            </w:pPr>
            <w:r>
              <w:rPr>
                <w:rFonts w:ascii="Calibri" w:eastAsia="Calibri" w:hAnsi="Calibri" w:cs="Calibri"/>
                <w:b/>
                <w:bCs/>
              </w:rPr>
              <w:t>Registration and arrival of participants</w:t>
            </w:r>
          </w:p>
        </w:tc>
      </w:tr>
      <w:tr w:rsidR="00E85C66" w14:paraId="5C8C31F7" w14:textId="77777777" w:rsidTr="00D6746B">
        <w:trPr>
          <w:cantSplit/>
          <w:trHeight w:val="20"/>
        </w:trPr>
        <w:tc>
          <w:tcPr>
            <w:tcW w:w="1271" w:type="dxa"/>
            <w:tcMar>
              <w:top w:w="80" w:type="dxa"/>
              <w:left w:w="100" w:type="dxa"/>
              <w:bottom w:w="80" w:type="dxa"/>
              <w:right w:w="100" w:type="dxa"/>
            </w:tcMar>
            <w:vAlign w:val="center"/>
          </w:tcPr>
          <w:p w14:paraId="3DC2C6AE" w14:textId="77777777" w:rsidR="005660D4" w:rsidRDefault="00ED4C7E" w:rsidP="00835FC3">
            <w:pPr>
              <w:jc w:val="both"/>
            </w:pPr>
            <w:r>
              <w:rPr>
                <w:rFonts w:ascii="Calibri" w:eastAsia="Calibri" w:hAnsi="Calibri" w:cs="Calibri"/>
                <w:b/>
                <w:bCs/>
              </w:rPr>
              <w:t>09:15–10:30</w:t>
            </w:r>
          </w:p>
        </w:tc>
        <w:tc>
          <w:tcPr>
            <w:tcW w:w="8930" w:type="dxa"/>
            <w:tcMar>
              <w:top w:w="80" w:type="dxa"/>
              <w:left w:w="100" w:type="dxa"/>
              <w:bottom w:w="80" w:type="dxa"/>
              <w:right w:w="100" w:type="dxa"/>
            </w:tcMar>
            <w:vAlign w:val="center"/>
          </w:tcPr>
          <w:p w14:paraId="744CE370" w14:textId="7A3543CC" w:rsidR="005660D4" w:rsidRDefault="00ED4C7E" w:rsidP="00835FC3">
            <w:pPr>
              <w:jc w:val="both"/>
            </w:pPr>
            <w:r>
              <w:rPr>
                <w:rFonts w:ascii="Calibri" w:eastAsia="Calibri" w:hAnsi="Calibri" w:cs="Calibri"/>
                <w:b/>
                <w:bCs/>
              </w:rPr>
              <w:t xml:space="preserve">Session 5 – From Budget to </w:t>
            </w:r>
            <w:r w:rsidR="003508B2">
              <w:rPr>
                <w:rFonts w:ascii="Calibri" w:eastAsia="Calibri" w:hAnsi="Calibri" w:cs="Calibri"/>
                <w:b/>
                <w:bCs/>
              </w:rPr>
              <w:t>Build</w:t>
            </w:r>
            <w:r>
              <w:rPr>
                <w:rFonts w:ascii="Calibri" w:eastAsia="Calibri" w:hAnsi="Calibri" w:cs="Calibri"/>
                <w:b/>
                <w:bCs/>
              </w:rPr>
              <w:t xml:space="preserve"> Asset: Delivering on Time and on Budget</w:t>
            </w:r>
          </w:p>
          <w:p w14:paraId="44BE44E9" w14:textId="77777777" w:rsidR="005660D4" w:rsidRDefault="00ED4C7E" w:rsidP="00835FC3">
            <w:pPr>
              <w:jc w:val="both"/>
            </w:pPr>
            <w:r>
              <w:rPr>
                <w:rFonts w:ascii="Calibri" w:eastAsia="Calibri" w:hAnsi="Calibri" w:cs="Calibri"/>
                <w:i/>
                <w:iCs/>
              </w:rPr>
              <w:t>Speakers: TBC, Ministry of Finance of the Republic of Croatia; TBC, EU Member State Ministry of Finance (portfolio management)</w:t>
            </w:r>
          </w:p>
          <w:p w14:paraId="526676FC" w14:textId="77777777" w:rsidR="005660D4" w:rsidRDefault="005660D4" w:rsidP="00835FC3">
            <w:pPr>
              <w:jc w:val="both"/>
            </w:pPr>
          </w:p>
          <w:p w14:paraId="3FEF814E" w14:textId="77777777" w:rsidR="005660D4" w:rsidRDefault="00ED4C7E" w:rsidP="00835FC3">
            <w:pPr>
              <w:jc w:val="both"/>
            </w:pPr>
            <w:r>
              <w:rPr>
                <w:rFonts w:ascii="Calibri" w:eastAsia="Calibri" w:hAnsi="Calibri" w:cs="Calibri"/>
              </w:rPr>
              <w:t>How to keep approved projects affordable and on track: the total cost of each project in budget documents, ceilings on multi-year commitments, maintenance funding, and central monitoring of the portfolio so that delays and cost overruns are dealt with early. Croatia shares how it introduced unified appraisal rules under its 2022 Budget Law and how it has managed delivery of its Recovery and Resilience Plan. Participants then discuss at their tables how their administrations deal with stalled projects and under-funded maintenance.</w:t>
            </w:r>
          </w:p>
          <w:p w14:paraId="62406C6B" w14:textId="77777777" w:rsidR="005660D4" w:rsidRDefault="00ED4C7E" w:rsidP="00835FC3">
            <w:pPr>
              <w:jc w:val="both"/>
            </w:pPr>
            <w:r>
              <w:rPr>
                <w:rFonts w:ascii="Calibri" w:eastAsia="Calibri" w:hAnsi="Calibri" w:cs="Calibri"/>
                <w:i/>
                <w:iCs/>
              </w:rPr>
              <w:t>Presentations &amp; Table Discussion</w:t>
            </w:r>
          </w:p>
        </w:tc>
      </w:tr>
      <w:tr w:rsidR="00E85C66" w14:paraId="0A7FD770" w14:textId="77777777" w:rsidTr="00D6746B">
        <w:trPr>
          <w:cantSplit/>
          <w:trHeight w:val="20"/>
        </w:trPr>
        <w:tc>
          <w:tcPr>
            <w:tcW w:w="1271" w:type="dxa"/>
            <w:tcMar>
              <w:top w:w="80" w:type="dxa"/>
              <w:left w:w="100" w:type="dxa"/>
              <w:bottom w:w="80" w:type="dxa"/>
              <w:right w:w="100" w:type="dxa"/>
            </w:tcMar>
            <w:vAlign w:val="center"/>
          </w:tcPr>
          <w:p w14:paraId="784CD11D" w14:textId="5150AE82" w:rsidR="005660D4" w:rsidRDefault="00ED4C7E" w:rsidP="00835FC3">
            <w:pPr>
              <w:jc w:val="both"/>
            </w:pPr>
            <w:r>
              <w:rPr>
                <w:rFonts w:ascii="Calibri" w:eastAsia="Calibri" w:hAnsi="Calibri" w:cs="Calibri"/>
                <w:b/>
                <w:bCs/>
              </w:rPr>
              <w:t>10:</w:t>
            </w:r>
            <w:r w:rsidR="00D20D5E">
              <w:rPr>
                <w:rFonts w:ascii="Calibri" w:eastAsia="Calibri" w:hAnsi="Calibri" w:cs="Calibri"/>
                <w:b/>
                <w:bCs/>
              </w:rPr>
              <w:t>30</w:t>
            </w:r>
            <w:r>
              <w:rPr>
                <w:rFonts w:ascii="Calibri" w:eastAsia="Calibri" w:hAnsi="Calibri" w:cs="Calibri"/>
                <w:b/>
                <w:bCs/>
              </w:rPr>
              <w:t>–1</w:t>
            </w:r>
            <w:r w:rsidR="00D20D5E">
              <w:rPr>
                <w:rFonts w:ascii="Calibri" w:eastAsia="Calibri" w:hAnsi="Calibri" w:cs="Calibri"/>
                <w:b/>
                <w:bCs/>
              </w:rPr>
              <w:t>1</w:t>
            </w:r>
            <w:r>
              <w:rPr>
                <w:rFonts w:ascii="Calibri" w:eastAsia="Calibri" w:hAnsi="Calibri" w:cs="Calibri"/>
                <w:b/>
                <w:bCs/>
              </w:rPr>
              <w:t>:</w:t>
            </w:r>
            <w:r w:rsidR="00564E6F">
              <w:rPr>
                <w:rFonts w:ascii="Calibri" w:eastAsia="Calibri" w:hAnsi="Calibri" w:cs="Calibri"/>
                <w:b/>
                <w:bCs/>
              </w:rPr>
              <w:t>30</w:t>
            </w:r>
          </w:p>
        </w:tc>
        <w:tc>
          <w:tcPr>
            <w:tcW w:w="8930" w:type="dxa"/>
            <w:tcMar>
              <w:top w:w="80" w:type="dxa"/>
              <w:left w:w="100" w:type="dxa"/>
              <w:bottom w:w="80" w:type="dxa"/>
              <w:right w:w="100" w:type="dxa"/>
            </w:tcMar>
            <w:vAlign w:val="center"/>
          </w:tcPr>
          <w:p w14:paraId="3461940F" w14:textId="77777777" w:rsidR="0030779C" w:rsidRDefault="00ED4C7E" w:rsidP="0030779C">
            <w:pPr>
              <w:jc w:val="both"/>
            </w:pPr>
            <w:r>
              <w:rPr>
                <w:rFonts w:ascii="Calibri" w:eastAsia="Calibri" w:hAnsi="Calibri" w:cs="Calibri"/>
                <w:b/>
                <w:bCs/>
              </w:rPr>
              <w:t xml:space="preserve">Session 6 – </w:t>
            </w:r>
            <w:r w:rsidR="0030779C">
              <w:rPr>
                <w:rFonts w:ascii="Calibri" w:eastAsia="Calibri" w:hAnsi="Calibri" w:cs="Calibri"/>
                <w:b/>
                <w:bCs/>
              </w:rPr>
              <w:t>Partners’ Round Table: Who Supports What?</w:t>
            </w:r>
          </w:p>
          <w:p w14:paraId="1E79DA12" w14:textId="30C31AB1" w:rsidR="0030779C" w:rsidRDefault="0030779C" w:rsidP="0030779C">
            <w:pPr>
              <w:jc w:val="both"/>
            </w:pPr>
            <w:r>
              <w:rPr>
                <w:rFonts w:ascii="Calibri" w:eastAsia="Calibri" w:hAnsi="Calibri" w:cs="Calibri"/>
                <w:i/>
                <w:iCs/>
              </w:rPr>
              <w:t>Invited: TBC, European Commission (DG ENEST / WBIF); TBC, IMF; TBC, World Bank; TBC, EIB/JASPERS; TBC, EBRD (at least three different partners)</w:t>
            </w:r>
          </w:p>
          <w:p w14:paraId="43AF971E" w14:textId="77777777" w:rsidR="0030779C" w:rsidRDefault="0030779C" w:rsidP="0030779C">
            <w:pPr>
              <w:jc w:val="both"/>
            </w:pPr>
            <w:r>
              <w:rPr>
                <w:rFonts w:ascii="Calibri" w:eastAsia="Calibri" w:hAnsi="Calibri" w:cs="Calibri"/>
                <w:i/>
                <w:iCs/>
              </w:rPr>
              <w:t xml:space="preserve">Moderator: TBC, </w:t>
            </w:r>
            <w:proofErr w:type="spellStart"/>
            <w:r>
              <w:rPr>
                <w:rFonts w:ascii="Calibri" w:eastAsia="Calibri" w:hAnsi="Calibri" w:cs="Calibri"/>
                <w:i/>
                <w:iCs/>
              </w:rPr>
              <w:t>ReSPA</w:t>
            </w:r>
            <w:proofErr w:type="spellEnd"/>
          </w:p>
          <w:p w14:paraId="424524AD" w14:textId="77777777" w:rsidR="0030779C" w:rsidRDefault="0030779C" w:rsidP="0030779C">
            <w:pPr>
              <w:jc w:val="both"/>
            </w:pPr>
          </w:p>
          <w:p w14:paraId="719CE553" w14:textId="77777777" w:rsidR="0030779C" w:rsidRDefault="0030779C" w:rsidP="0030779C">
            <w:pPr>
              <w:jc w:val="both"/>
            </w:pPr>
            <w:r>
              <w:rPr>
                <w:rFonts w:ascii="Calibri" w:eastAsia="Calibri" w:hAnsi="Calibri" w:cs="Calibri"/>
              </w:rPr>
              <w:t>The administrations put the support requests from the lightning round directly to the partners. Each partner explains, briefly and concretely, what support is available in 2027 for project preparation, appraisal capacity, PIM information systems and pipeline management, followed by an open exchange with participants.</w:t>
            </w:r>
          </w:p>
          <w:p w14:paraId="740BF9EC" w14:textId="5AD83A44" w:rsidR="005660D4" w:rsidRDefault="0030779C" w:rsidP="00835FC3">
            <w:pPr>
              <w:jc w:val="both"/>
            </w:pPr>
            <w:r>
              <w:rPr>
                <w:rFonts w:ascii="Calibri" w:eastAsia="Calibri" w:hAnsi="Calibri" w:cs="Calibri"/>
                <w:i/>
                <w:iCs/>
              </w:rPr>
              <w:t>Round Table</w:t>
            </w:r>
          </w:p>
        </w:tc>
      </w:tr>
      <w:tr w:rsidR="009A71DF" w14:paraId="4B50D0D0" w14:textId="77777777" w:rsidTr="007162CB">
        <w:trPr>
          <w:cantSplit/>
          <w:trHeight w:val="20"/>
        </w:trPr>
        <w:tc>
          <w:tcPr>
            <w:tcW w:w="1271" w:type="dxa"/>
            <w:shd w:val="clear" w:color="auto" w:fill="EDEDED"/>
            <w:tcMar>
              <w:top w:w="80" w:type="dxa"/>
              <w:left w:w="100" w:type="dxa"/>
              <w:bottom w:w="80" w:type="dxa"/>
              <w:right w:w="100" w:type="dxa"/>
            </w:tcMar>
            <w:vAlign w:val="center"/>
          </w:tcPr>
          <w:p w14:paraId="37A0D55F" w14:textId="5C79C80E" w:rsidR="009A71DF" w:rsidRDefault="009A71DF" w:rsidP="007162CB">
            <w:pPr>
              <w:jc w:val="both"/>
            </w:pPr>
            <w:r>
              <w:rPr>
                <w:rFonts w:ascii="Calibri" w:eastAsia="Calibri" w:hAnsi="Calibri" w:cs="Calibri"/>
                <w:b/>
                <w:bCs/>
                <w:i/>
                <w:iCs/>
              </w:rPr>
              <w:t>1</w:t>
            </w:r>
            <w:r w:rsidR="00D20D5E">
              <w:rPr>
                <w:rFonts w:ascii="Calibri" w:eastAsia="Calibri" w:hAnsi="Calibri" w:cs="Calibri"/>
                <w:b/>
                <w:bCs/>
                <w:i/>
                <w:iCs/>
              </w:rPr>
              <w:t>1</w:t>
            </w:r>
            <w:r>
              <w:rPr>
                <w:rFonts w:ascii="Calibri" w:eastAsia="Calibri" w:hAnsi="Calibri" w:cs="Calibri"/>
                <w:b/>
                <w:bCs/>
                <w:i/>
                <w:iCs/>
              </w:rPr>
              <w:t>:30–1</w:t>
            </w:r>
            <w:r w:rsidR="00D20D5E">
              <w:rPr>
                <w:rFonts w:ascii="Calibri" w:eastAsia="Calibri" w:hAnsi="Calibri" w:cs="Calibri"/>
                <w:b/>
                <w:bCs/>
                <w:i/>
                <w:iCs/>
              </w:rPr>
              <w:t>1</w:t>
            </w:r>
            <w:r>
              <w:rPr>
                <w:rFonts w:ascii="Calibri" w:eastAsia="Calibri" w:hAnsi="Calibri" w:cs="Calibri"/>
                <w:b/>
                <w:bCs/>
                <w:i/>
                <w:iCs/>
              </w:rPr>
              <w:t>:45</w:t>
            </w:r>
          </w:p>
        </w:tc>
        <w:tc>
          <w:tcPr>
            <w:tcW w:w="8930" w:type="dxa"/>
            <w:shd w:val="clear" w:color="auto" w:fill="EDEDED"/>
            <w:tcMar>
              <w:top w:w="80" w:type="dxa"/>
              <w:left w:w="100" w:type="dxa"/>
              <w:bottom w:w="80" w:type="dxa"/>
              <w:right w:w="100" w:type="dxa"/>
            </w:tcMar>
            <w:vAlign w:val="center"/>
          </w:tcPr>
          <w:p w14:paraId="30266080" w14:textId="77777777" w:rsidR="009A71DF" w:rsidRDefault="009A71DF" w:rsidP="007162CB">
            <w:pPr>
              <w:jc w:val="both"/>
            </w:pPr>
            <w:r>
              <w:rPr>
                <w:rFonts w:ascii="Calibri" w:eastAsia="Calibri" w:hAnsi="Calibri" w:cs="Calibri"/>
                <w:i/>
                <w:iCs/>
              </w:rPr>
              <w:t>Coffee Break</w:t>
            </w:r>
          </w:p>
        </w:tc>
      </w:tr>
      <w:tr w:rsidR="00E85C66" w14:paraId="0FD3E2C8" w14:textId="77777777" w:rsidTr="00D6746B">
        <w:trPr>
          <w:cantSplit/>
          <w:trHeight w:val="20"/>
        </w:trPr>
        <w:tc>
          <w:tcPr>
            <w:tcW w:w="1271" w:type="dxa"/>
            <w:tcMar>
              <w:top w:w="80" w:type="dxa"/>
              <w:left w:w="100" w:type="dxa"/>
              <w:bottom w:w="80" w:type="dxa"/>
              <w:right w:w="100" w:type="dxa"/>
            </w:tcMar>
            <w:vAlign w:val="center"/>
          </w:tcPr>
          <w:p w14:paraId="606757A8" w14:textId="29D2B6FB" w:rsidR="005660D4" w:rsidRDefault="004951B3" w:rsidP="008538B6">
            <w:pPr>
              <w:jc w:val="both"/>
            </w:pPr>
            <w:r>
              <w:rPr>
                <w:rFonts w:ascii="Calibri" w:eastAsia="Calibri" w:hAnsi="Calibri" w:cs="Calibri"/>
                <w:b/>
                <w:bCs/>
              </w:rPr>
              <w:t>1</w:t>
            </w:r>
            <w:r w:rsidR="00942254">
              <w:rPr>
                <w:rFonts w:ascii="Calibri" w:eastAsia="Calibri" w:hAnsi="Calibri" w:cs="Calibri"/>
                <w:b/>
                <w:bCs/>
              </w:rPr>
              <w:t>1:45</w:t>
            </w:r>
            <w:r>
              <w:rPr>
                <w:rFonts w:ascii="Calibri" w:eastAsia="Calibri" w:hAnsi="Calibri" w:cs="Calibri"/>
                <w:b/>
                <w:bCs/>
              </w:rPr>
              <w:t>-</w:t>
            </w:r>
            <w:r w:rsidR="00495115">
              <w:rPr>
                <w:rFonts w:ascii="Calibri" w:eastAsia="Calibri" w:hAnsi="Calibri" w:cs="Calibri"/>
                <w:b/>
                <w:bCs/>
              </w:rPr>
              <w:t>1</w:t>
            </w:r>
            <w:r w:rsidR="003A0D87">
              <w:rPr>
                <w:rFonts w:ascii="Calibri" w:eastAsia="Calibri" w:hAnsi="Calibri" w:cs="Calibri"/>
                <w:b/>
                <w:bCs/>
              </w:rPr>
              <w:t>3</w:t>
            </w:r>
            <w:r w:rsidR="00495115">
              <w:rPr>
                <w:rFonts w:ascii="Calibri" w:eastAsia="Calibri" w:hAnsi="Calibri" w:cs="Calibri"/>
                <w:b/>
                <w:bCs/>
              </w:rPr>
              <w:t>:</w:t>
            </w:r>
            <w:r w:rsidR="003A0D87">
              <w:rPr>
                <w:rFonts w:ascii="Calibri" w:eastAsia="Calibri" w:hAnsi="Calibri" w:cs="Calibri"/>
                <w:b/>
                <w:bCs/>
              </w:rPr>
              <w:t>00</w:t>
            </w:r>
          </w:p>
        </w:tc>
        <w:tc>
          <w:tcPr>
            <w:tcW w:w="8930" w:type="dxa"/>
            <w:tcMar>
              <w:top w:w="80" w:type="dxa"/>
              <w:left w:w="100" w:type="dxa"/>
              <w:bottom w:w="80" w:type="dxa"/>
              <w:right w:w="100" w:type="dxa"/>
            </w:tcMar>
            <w:vAlign w:val="center"/>
          </w:tcPr>
          <w:p w14:paraId="779AB38D" w14:textId="39CF52E5" w:rsidR="005660D4" w:rsidRDefault="00ED4C7E" w:rsidP="008538B6">
            <w:pPr>
              <w:jc w:val="both"/>
            </w:pPr>
            <w:r>
              <w:rPr>
                <w:rFonts w:ascii="Calibri" w:eastAsia="Calibri" w:hAnsi="Calibri" w:cs="Calibri"/>
                <w:b/>
                <w:bCs/>
              </w:rPr>
              <w:t xml:space="preserve">Session </w:t>
            </w:r>
            <w:r w:rsidR="00D20D5E">
              <w:rPr>
                <w:rFonts w:ascii="Calibri" w:eastAsia="Calibri" w:hAnsi="Calibri" w:cs="Calibri"/>
                <w:b/>
                <w:bCs/>
              </w:rPr>
              <w:t>7</w:t>
            </w:r>
            <w:r>
              <w:rPr>
                <w:rFonts w:ascii="Calibri" w:eastAsia="Calibri" w:hAnsi="Calibri" w:cs="Calibri"/>
                <w:b/>
                <w:bCs/>
              </w:rPr>
              <w:t xml:space="preserve"> – Reform Design Lab: One Action per Administration</w:t>
            </w:r>
          </w:p>
          <w:p w14:paraId="04E71B2B" w14:textId="78831F43" w:rsidR="005660D4" w:rsidRDefault="00ED4C7E" w:rsidP="008538B6">
            <w:pPr>
              <w:jc w:val="both"/>
            </w:pPr>
            <w:r>
              <w:rPr>
                <w:rFonts w:ascii="Calibri" w:eastAsia="Calibri" w:hAnsi="Calibri" w:cs="Calibri"/>
                <w:i/>
                <w:iCs/>
              </w:rPr>
              <w:t xml:space="preserve">Facilitators: </w:t>
            </w:r>
            <w:proofErr w:type="gramStart"/>
            <w:r>
              <w:rPr>
                <w:rFonts w:ascii="Calibri" w:eastAsia="Calibri" w:hAnsi="Calibri" w:cs="Calibri"/>
                <w:i/>
                <w:iCs/>
              </w:rPr>
              <w:t>TBC,  IMF</w:t>
            </w:r>
            <w:proofErr w:type="gramEnd"/>
            <w:r>
              <w:rPr>
                <w:rFonts w:ascii="Calibri" w:eastAsia="Calibri" w:hAnsi="Calibri" w:cs="Calibri"/>
                <w:i/>
                <w:iCs/>
              </w:rPr>
              <w:t xml:space="preserve">; TBC, </w:t>
            </w:r>
            <w:proofErr w:type="spellStart"/>
            <w:r>
              <w:rPr>
                <w:rFonts w:ascii="Calibri" w:eastAsia="Calibri" w:hAnsi="Calibri" w:cs="Calibri"/>
                <w:i/>
                <w:iCs/>
              </w:rPr>
              <w:t>ReSPA</w:t>
            </w:r>
            <w:proofErr w:type="spellEnd"/>
          </w:p>
          <w:p w14:paraId="3109E650" w14:textId="77777777" w:rsidR="005660D4" w:rsidRDefault="005660D4" w:rsidP="008538B6">
            <w:pPr>
              <w:jc w:val="both"/>
            </w:pPr>
          </w:p>
          <w:p w14:paraId="63D54C8C" w14:textId="77777777" w:rsidR="005660D4" w:rsidRDefault="00ED4C7E" w:rsidP="008538B6">
            <w:pPr>
              <w:jc w:val="both"/>
            </w:pPr>
            <w:r>
              <w:rPr>
                <w:rFonts w:ascii="Calibri" w:eastAsia="Calibri" w:hAnsi="Calibri" w:cs="Calibri"/>
              </w:rPr>
              <w:t>Each administration uses its self-assessment and the workshop discussions to choose one priority action, such as a pipeline register, appraisal thresholds, independent review at entry or a maintenance benchmark. Peer feedback helps define the responsible institution, the first step and the support needed.</w:t>
            </w:r>
          </w:p>
          <w:p w14:paraId="08E68DA0" w14:textId="77777777" w:rsidR="005660D4" w:rsidRDefault="00ED4C7E" w:rsidP="008538B6">
            <w:pPr>
              <w:jc w:val="both"/>
            </w:pPr>
            <w:r>
              <w:rPr>
                <w:rFonts w:ascii="Calibri" w:eastAsia="Calibri" w:hAnsi="Calibri" w:cs="Calibri"/>
                <w:i/>
                <w:iCs/>
              </w:rPr>
              <w:t>Group Work &amp; Peer Review</w:t>
            </w:r>
          </w:p>
        </w:tc>
      </w:tr>
      <w:tr w:rsidR="00E85C66" w14:paraId="63C16568" w14:textId="77777777" w:rsidTr="00D6746B">
        <w:trPr>
          <w:cantSplit/>
          <w:trHeight w:val="20"/>
        </w:trPr>
        <w:tc>
          <w:tcPr>
            <w:tcW w:w="1271" w:type="dxa"/>
            <w:tcMar>
              <w:top w:w="80" w:type="dxa"/>
              <w:left w:w="100" w:type="dxa"/>
              <w:bottom w:w="80" w:type="dxa"/>
              <w:right w:w="100" w:type="dxa"/>
            </w:tcMar>
            <w:vAlign w:val="center"/>
          </w:tcPr>
          <w:p w14:paraId="4EAFDA36" w14:textId="23165229" w:rsidR="005660D4" w:rsidRDefault="00495115" w:rsidP="008538B6">
            <w:pPr>
              <w:jc w:val="both"/>
            </w:pPr>
            <w:r>
              <w:rPr>
                <w:rFonts w:ascii="Calibri" w:eastAsia="Calibri" w:hAnsi="Calibri" w:cs="Calibri"/>
                <w:b/>
                <w:bCs/>
              </w:rPr>
              <w:t>13:</w:t>
            </w:r>
            <w:r w:rsidR="003A0D87">
              <w:rPr>
                <w:rFonts w:ascii="Calibri" w:eastAsia="Calibri" w:hAnsi="Calibri" w:cs="Calibri"/>
                <w:b/>
                <w:bCs/>
              </w:rPr>
              <w:t>0</w:t>
            </w:r>
            <w:r>
              <w:rPr>
                <w:rFonts w:ascii="Calibri" w:eastAsia="Calibri" w:hAnsi="Calibri" w:cs="Calibri"/>
                <w:b/>
                <w:bCs/>
              </w:rPr>
              <w:t>0-1</w:t>
            </w:r>
            <w:r w:rsidR="003A0D87">
              <w:rPr>
                <w:rFonts w:ascii="Calibri" w:eastAsia="Calibri" w:hAnsi="Calibri" w:cs="Calibri"/>
                <w:b/>
                <w:bCs/>
              </w:rPr>
              <w:t>3</w:t>
            </w:r>
            <w:r>
              <w:rPr>
                <w:rFonts w:ascii="Calibri" w:eastAsia="Calibri" w:hAnsi="Calibri" w:cs="Calibri"/>
                <w:b/>
                <w:bCs/>
              </w:rPr>
              <w:t>:</w:t>
            </w:r>
            <w:r w:rsidR="003A0D87">
              <w:rPr>
                <w:rFonts w:ascii="Calibri" w:eastAsia="Calibri" w:hAnsi="Calibri" w:cs="Calibri"/>
                <w:b/>
                <w:bCs/>
              </w:rPr>
              <w:t>15</w:t>
            </w:r>
          </w:p>
        </w:tc>
        <w:tc>
          <w:tcPr>
            <w:tcW w:w="8930" w:type="dxa"/>
            <w:tcMar>
              <w:top w:w="80" w:type="dxa"/>
              <w:left w:w="100" w:type="dxa"/>
              <w:bottom w:w="80" w:type="dxa"/>
              <w:right w:w="100" w:type="dxa"/>
            </w:tcMar>
            <w:vAlign w:val="center"/>
          </w:tcPr>
          <w:p w14:paraId="4B53355D" w14:textId="4C454113" w:rsidR="005660D4" w:rsidRDefault="00ED4C7E" w:rsidP="008538B6">
            <w:pPr>
              <w:jc w:val="both"/>
            </w:pPr>
            <w:r>
              <w:rPr>
                <w:rFonts w:ascii="Calibri" w:eastAsia="Calibri" w:hAnsi="Calibri" w:cs="Calibri"/>
                <w:b/>
                <w:bCs/>
              </w:rPr>
              <w:t xml:space="preserve">Closing Session: Key Takeaways </w:t>
            </w:r>
          </w:p>
          <w:p w14:paraId="52331244" w14:textId="77777777" w:rsidR="005660D4" w:rsidRDefault="00ED4C7E" w:rsidP="008538B6">
            <w:pPr>
              <w:jc w:val="both"/>
            </w:pPr>
            <w:r>
              <w:rPr>
                <w:rFonts w:ascii="Calibri" w:eastAsia="Calibri" w:hAnsi="Calibri" w:cs="Calibri"/>
                <w:i/>
                <w:iCs/>
              </w:rPr>
              <w:t xml:space="preserve">Moderator: TBC, </w:t>
            </w:r>
            <w:proofErr w:type="spellStart"/>
            <w:r>
              <w:rPr>
                <w:rFonts w:ascii="Calibri" w:eastAsia="Calibri" w:hAnsi="Calibri" w:cs="Calibri"/>
                <w:i/>
                <w:iCs/>
              </w:rPr>
              <w:t>ReSPA</w:t>
            </w:r>
            <w:proofErr w:type="spellEnd"/>
          </w:p>
          <w:p w14:paraId="0C50A09C" w14:textId="77777777" w:rsidR="005660D4" w:rsidRDefault="005660D4" w:rsidP="008538B6">
            <w:pPr>
              <w:jc w:val="both"/>
            </w:pPr>
          </w:p>
          <w:p w14:paraId="0C2E355A" w14:textId="44C3136C" w:rsidR="005660D4" w:rsidRDefault="005660D4" w:rsidP="008538B6">
            <w:pPr>
              <w:jc w:val="both"/>
            </w:pPr>
          </w:p>
        </w:tc>
      </w:tr>
      <w:tr w:rsidR="007843B6" w14:paraId="1DD79E11" w14:textId="77777777" w:rsidTr="00D6746B">
        <w:trPr>
          <w:cantSplit/>
          <w:trHeight w:val="20"/>
        </w:trPr>
        <w:tc>
          <w:tcPr>
            <w:tcW w:w="1271" w:type="dxa"/>
            <w:tcMar>
              <w:top w:w="80" w:type="dxa"/>
              <w:left w:w="100" w:type="dxa"/>
              <w:bottom w:w="80" w:type="dxa"/>
              <w:right w:w="100" w:type="dxa"/>
            </w:tcMar>
            <w:vAlign w:val="center"/>
          </w:tcPr>
          <w:p w14:paraId="05E3C2BF" w14:textId="6B4BB7C2" w:rsidR="007843B6" w:rsidRDefault="005B30E8" w:rsidP="007843B6">
            <w:pPr>
              <w:jc w:val="both"/>
              <w:rPr>
                <w:rFonts w:ascii="Calibri" w:eastAsia="Calibri" w:hAnsi="Calibri" w:cs="Calibri"/>
                <w:b/>
                <w:bCs/>
              </w:rPr>
            </w:pPr>
            <w:r>
              <w:rPr>
                <w:rFonts w:ascii="Calibri" w:eastAsia="Calibri" w:hAnsi="Calibri" w:cs="Calibri"/>
                <w:b/>
                <w:bCs/>
                <w:i/>
                <w:iCs/>
              </w:rPr>
              <w:t>13</w:t>
            </w:r>
            <w:r w:rsidR="00893E4A">
              <w:rPr>
                <w:rFonts w:ascii="Calibri" w:eastAsia="Calibri" w:hAnsi="Calibri" w:cs="Calibri"/>
                <w:b/>
                <w:bCs/>
                <w:i/>
                <w:iCs/>
              </w:rPr>
              <w:t>:</w:t>
            </w:r>
            <w:r>
              <w:rPr>
                <w:rFonts w:ascii="Calibri" w:eastAsia="Calibri" w:hAnsi="Calibri" w:cs="Calibri"/>
                <w:b/>
                <w:bCs/>
                <w:i/>
                <w:iCs/>
              </w:rPr>
              <w:t>15</w:t>
            </w:r>
            <w:r w:rsidR="006A6FD1">
              <w:rPr>
                <w:rFonts w:ascii="Calibri" w:eastAsia="Calibri" w:hAnsi="Calibri" w:cs="Calibri"/>
                <w:b/>
                <w:bCs/>
                <w:i/>
                <w:iCs/>
              </w:rPr>
              <w:t>-</w:t>
            </w:r>
            <w:r w:rsidR="00893E4A">
              <w:rPr>
                <w:rFonts w:ascii="Calibri" w:eastAsia="Calibri" w:hAnsi="Calibri" w:cs="Calibri"/>
                <w:b/>
                <w:bCs/>
                <w:i/>
                <w:iCs/>
              </w:rPr>
              <w:t>14</w:t>
            </w:r>
            <w:r w:rsidR="008510C6">
              <w:rPr>
                <w:rFonts w:ascii="Calibri" w:eastAsia="Calibri" w:hAnsi="Calibri" w:cs="Calibri"/>
                <w:b/>
                <w:bCs/>
                <w:i/>
                <w:iCs/>
              </w:rPr>
              <w:t>:00</w:t>
            </w:r>
          </w:p>
        </w:tc>
        <w:tc>
          <w:tcPr>
            <w:tcW w:w="8930" w:type="dxa"/>
            <w:tcMar>
              <w:top w:w="80" w:type="dxa"/>
              <w:left w:w="100" w:type="dxa"/>
              <w:bottom w:w="80" w:type="dxa"/>
              <w:right w:w="100" w:type="dxa"/>
            </w:tcMar>
            <w:vAlign w:val="center"/>
          </w:tcPr>
          <w:p w14:paraId="0DB2C260" w14:textId="04E087FA" w:rsidR="007843B6" w:rsidRDefault="007843B6" w:rsidP="007843B6">
            <w:pPr>
              <w:jc w:val="both"/>
              <w:rPr>
                <w:rFonts w:ascii="Calibri" w:eastAsia="Calibri" w:hAnsi="Calibri" w:cs="Calibri"/>
                <w:b/>
                <w:bCs/>
              </w:rPr>
            </w:pPr>
            <w:r>
              <w:rPr>
                <w:rFonts w:ascii="Calibri" w:eastAsia="Calibri" w:hAnsi="Calibri" w:cs="Calibri"/>
                <w:i/>
                <w:iCs/>
              </w:rPr>
              <w:t>Lunch</w:t>
            </w:r>
          </w:p>
        </w:tc>
      </w:tr>
    </w:tbl>
    <w:p w14:paraId="0D5C2AF7" w14:textId="77777777" w:rsidR="000356D7" w:rsidRPr="00EB2831" w:rsidRDefault="00E85C66" w:rsidP="0002473B">
      <w:pPr>
        <w:pStyle w:val="Title"/>
        <w:jc w:val="center"/>
        <w:rPr>
          <w:sz w:val="40"/>
          <w:szCs w:val="40"/>
        </w:rPr>
      </w:pPr>
      <w:r w:rsidRPr="00223202">
        <w:rPr>
          <w:rFonts w:ascii="Calibri" w:eastAsia="Calibri" w:hAnsi="Calibri" w:cs="Calibri"/>
          <w:i/>
          <w:iCs/>
          <w:sz w:val="16"/>
          <w:szCs w:val="16"/>
        </w:rPr>
        <w:t>Note: the agenda is preliminary and subject to confirmation; session order and speakers will be finalised closer to the workshop</w:t>
      </w:r>
    </w:p>
    <w:sectPr w:rsidR="000356D7" w:rsidRPr="00EB2831" w:rsidSect="00541CC2">
      <w:headerReference w:type="default" r:id="rId9"/>
      <w:footerReference w:type="default" r:id="rId10"/>
      <w:pgSz w:w="11906" w:h="16838"/>
      <w:pgMar w:top="993" w:right="1134" w:bottom="1134" w:left="1134" w:header="70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C9BB0" w14:textId="77777777" w:rsidR="00115DDD" w:rsidRDefault="00115DDD" w:rsidP="00E84261">
      <w:r>
        <w:separator/>
      </w:r>
    </w:p>
  </w:endnote>
  <w:endnote w:type="continuationSeparator" w:id="0">
    <w:p w14:paraId="3D9D6B43" w14:textId="77777777" w:rsidR="00115DDD" w:rsidRDefault="00115DDD" w:rsidP="00E84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92732" w14:textId="77777777" w:rsidR="002F4C3D" w:rsidRDefault="002F4C3D">
    <w:pPr>
      <w:pStyle w:val="Footer"/>
    </w:pPr>
    <w:r>
      <w:rPr>
        <w:noProof/>
      </w:rPr>
      <w:drawing>
        <wp:inline distT="0" distB="0" distL="0" distR="0" wp14:anchorId="53EF6961" wp14:editId="22AA8B9A">
          <wp:extent cx="6080760" cy="947420"/>
          <wp:effectExtent l="0" t="0" r="0" b="5080"/>
          <wp:docPr id="15092185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5613" cy="9544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C693B" w14:textId="77777777" w:rsidR="00115DDD" w:rsidRDefault="00115DDD" w:rsidP="00E84261">
      <w:r>
        <w:separator/>
      </w:r>
    </w:p>
  </w:footnote>
  <w:footnote w:type="continuationSeparator" w:id="0">
    <w:p w14:paraId="0F2E1FAC" w14:textId="77777777" w:rsidR="00115DDD" w:rsidRDefault="00115DDD" w:rsidP="00E842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5E419" w14:textId="77777777" w:rsidR="00E84261" w:rsidRDefault="00E84261" w:rsidP="004056F3">
    <w:pPr>
      <w:pStyle w:val="Header"/>
      <w:tabs>
        <w:tab w:val="left" w:pos="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7B20B7"/>
    <w:multiLevelType w:val="hybridMultilevel"/>
    <w:tmpl w:val="76C24DE6"/>
    <w:lvl w:ilvl="0" w:tplc="F8D21940">
      <w:start w:val="1"/>
      <w:numFmt w:val="bullet"/>
      <w:lvlText w:val="•"/>
      <w:lvlJc w:val="left"/>
      <w:pPr>
        <w:ind w:left="720" w:hanging="360"/>
      </w:pPr>
    </w:lvl>
    <w:lvl w:ilvl="1" w:tplc="FBC081F4">
      <w:numFmt w:val="decimal"/>
      <w:lvlText w:val=""/>
      <w:lvlJc w:val="left"/>
    </w:lvl>
    <w:lvl w:ilvl="2" w:tplc="EC0E5720">
      <w:numFmt w:val="decimal"/>
      <w:lvlText w:val=""/>
      <w:lvlJc w:val="left"/>
    </w:lvl>
    <w:lvl w:ilvl="3" w:tplc="F07C7C02">
      <w:numFmt w:val="decimal"/>
      <w:lvlText w:val=""/>
      <w:lvlJc w:val="left"/>
    </w:lvl>
    <w:lvl w:ilvl="4" w:tplc="CD98FD4E">
      <w:numFmt w:val="decimal"/>
      <w:lvlText w:val=""/>
      <w:lvlJc w:val="left"/>
    </w:lvl>
    <w:lvl w:ilvl="5" w:tplc="637C1B2A">
      <w:numFmt w:val="decimal"/>
      <w:lvlText w:val=""/>
      <w:lvlJc w:val="left"/>
    </w:lvl>
    <w:lvl w:ilvl="6" w:tplc="89DAD2B4">
      <w:numFmt w:val="decimal"/>
      <w:lvlText w:val=""/>
      <w:lvlJc w:val="left"/>
    </w:lvl>
    <w:lvl w:ilvl="7" w:tplc="BDB699E2">
      <w:numFmt w:val="decimal"/>
      <w:lvlText w:val=""/>
      <w:lvlJc w:val="left"/>
    </w:lvl>
    <w:lvl w:ilvl="8" w:tplc="06F8D842">
      <w:numFmt w:val="decimal"/>
      <w:lvlText w:val=""/>
      <w:lvlJc w:val="left"/>
    </w:lvl>
  </w:abstractNum>
  <w:abstractNum w:abstractNumId="1" w15:restartNumberingAfterBreak="0">
    <w:nsid w:val="689D1825"/>
    <w:multiLevelType w:val="multilevel"/>
    <w:tmpl w:val="1554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940044"/>
    <w:multiLevelType w:val="hybridMultilevel"/>
    <w:tmpl w:val="5D1A1E6C"/>
    <w:lvl w:ilvl="0" w:tplc="91ACE1C2">
      <w:start w:val="1"/>
      <w:numFmt w:val="bullet"/>
      <w:lvlText w:val="●"/>
      <w:lvlJc w:val="left"/>
      <w:pPr>
        <w:ind w:left="720" w:hanging="360"/>
      </w:pPr>
    </w:lvl>
    <w:lvl w:ilvl="1" w:tplc="62A85C14">
      <w:start w:val="1"/>
      <w:numFmt w:val="bullet"/>
      <w:lvlText w:val="○"/>
      <w:lvlJc w:val="left"/>
      <w:pPr>
        <w:ind w:left="1440" w:hanging="360"/>
      </w:pPr>
    </w:lvl>
    <w:lvl w:ilvl="2" w:tplc="D8863D98">
      <w:start w:val="1"/>
      <w:numFmt w:val="bullet"/>
      <w:lvlText w:val="■"/>
      <w:lvlJc w:val="left"/>
      <w:pPr>
        <w:ind w:left="2160" w:hanging="360"/>
      </w:pPr>
    </w:lvl>
    <w:lvl w:ilvl="3" w:tplc="823CB2DE">
      <w:start w:val="1"/>
      <w:numFmt w:val="bullet"/>
      <w:lvlText w:val="●"/>
      <w:lvlJc w:val="left"/>
      <w:pPr>
        <w:ind w:left="2880" w:hanging="360"/>
      </w:pPr>
    </w:lvl>
    <w:lvl w:ilvl="4" w:tplc="82D6AADC">
      <w:start w:val="1"/>
      <w:numFmt w:val="bullet"/>
      <w:lvlText w:val="○"/>
      <w:lvlJc w:val="left"/>
      <w:pPr>
        <w:ind w:left="3600" w:hanging="360"/>
      </w:pPr>
    </w:lvl>
    <w:lvl w:ilvl="5" w:tplc="2BC0CE28">
      <w:start w:val="1"/>
      <w:numFmt w:val="bullet"/>
      <w:lvlText w:val="■"/>
      <w:lvlJc w:val="left"/>
      <w:pPr>
        <w:ind w:left="4320" w:hanging="360"/>
      </w:pPr>
    </w:lvl>
    <w:lvl w:ilvl="6" w:tplc="68920688">
      <w:start w:val="1"/>
      <w:numFmt w:val="bullet"/>
      <w:lvlText w:val="●"/>
      <w:lvlJc w:val="left"/>
      <w:pPr>
        <w:ind w:left="5040" w:hanging="360"/>
      </w:pPr>
    </w:lvl>
    <w:lvl w:ilvl="7" w:tplc="CDDE59E2">
      <w:start w:val="1"/>
      <w:numFmt w:val="bullet"/>
      <w:lvlText w:val="●"/>
      <w:lvlJc w:val="left"/>
      <w:pPr>
        <w:ind w:left="5760" w:hanging="360"/>
      </w:pPr>
    </w:lvl>
    <w:lvl w:ilvl="8" w:tplc="B5F047A4">
      <w:start w:val="1"/>
      <w:numFmt w:val="bullet"/>
      <w:lvlText w:val="●"/>
      <w:lvlJc w:val="left"/>
      <w:pPr>
        <w:ind w:left="6480" w:hanging="360"/>
      </w:pPr>
    </w:lvl>
  </w:abstractNum>
  <w:num w:numId="1" w16cid:durableId="1200043773">
    <w:abstractNumId w:val="2"/>
    <w:lvlOverride w:ilvl="0">
      <w:startOverride w:val="1"/>
    </w:lvlOverride>
  </w:num>
  <w:num w:numId="2" w16cid:durableId="1983730206">
    <w:abstractNumId w:val="0"/>
    <w:lvlOverride w:ilvl="0">
      <w:startOverride w:val="1"/>
    </w:lvlOverride>
  </w:num>
  <w:num w:numId="3" w16cid:durableId="1002126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B05"/>
    <w:rsid w:val="00010B47"/>
    <w:rsid w:val="0002473B"/>
    <w:rsid w:val="00027D6F"/>
    <w:rsid w:val="000356D7"/>
    <w:rsid w:val="00056596"/>
    <w:rsid w:val="00097485"/>
    <w:rsid w:val="000B49E4"/>
    <w:rsid w:val="000D289A"/>
    <w:rsid w:val="000E3963"/>
    <w:rsid w:val="000F0A14"/>
    <w:rsid w:val="000F4530"/>
    <w:rsid w:val="00115DDD"/>
    <w:rsid w:val="00125B05"/>
    <w:rsid w:val="00174B66"/>
    <w:rsid w:val="001844D0"/>
    <w:rsid w:val="001E36C4"/>
    <w:rsid w:val="001E41B8"/>
    <w:rsid w:val="001F5C44"/>
    <w:rsid w:val="002F4C3D"/>
    <w:rsid w:val="0030779C"/>
    <w:rsid w:val="00330D21"/>
    <w:rsid w:val="003505B6"/>
    <w:rsid w:val="003508B2"/>
    <w:rsid w:val="00382D4D"/>
    <w:rsid w:val="00397FEE"/>
    <w:rsid w:val="003A0D87"/>
    <w:rsid w:val="003D3C47"/>
    <w:rsid w:val="0040253F"/>
    <w:rsid w:val="004056F3"/>
    <w:rsid w:val="00495115"/>
    <w:rsid w:val="004951B3"/>
    <w:rsid w:val="004E4338"/>
    <w:rsid w:val="00541CC2"/>
    <w:rsid w:val="00547FC5"/>
    <w:rsid w:val="005612CF"/>
    <w:rsid w:val="00562008"/>
    <w:rsid w:val="00564E6F"/>
    <w:rsid w:val="005660D4"/>
    <w:rsid w:val="00584D8E"/>
    <w:rsid w:val="00590EE7"/>
    <w:rsid w:val="005B30E8"/>
    <w:rsid w:val="00636820"/>
    <w:rsid w:val="00656744"/>
    <w:rsid w:val="006659F7"/>
    <w:rsid w:val="00674CEC"/>
    <w:rsid w:val="006A53C9"/>
    <w:rsid w:val="006A6FD1"/>
    <w:rsid w:val="006D0EB9"/>
    <w:rsid w:val="006D5581"/>
    <w:rsid w:val="0075360D"/>
    <w:rsid w:val="00753B56"/>
    <w:rsid w:val="007843B6"/>
    <w:rsid w:val="007B5DDA"/>
    <w:rsid w:val="00802C03"/>
    <w:rsid w:val="00835FC3"/>
    <w:rsid w:val="008510C6"/>
    <w:rsid w:val="008538B6"/>
    <w:rsid w:val="008630AE"/>
    <w:rsid w:val="00893E4A"/>
    <w:rsid w:val="00925BDD"/>
    <w:rsid w:val="0094075D"/>
    <w:rsid w:val="00942254"/>
    <w:rsid w:val="00970177"/>
    <w:rsid w:val="00972644"/>
    <w:rsid w:val="009A71DF"/>
    <w:rsid w:val="009C139B"/>
    <w:rsid w:val="009D59E9"/>
    <w:rsid w:val="009E79E8"/>
    <w:rsid w:val="00A920E2"/>
    <w:rsid w:val="00B42EE3"/>
    <w:rsid w:val="00B55DF5"/>
    <w:rsid w:val="00BA3F87"/>
    <w:rsid w:val="00BD7693"/>
    <w:rsid w:val="00C2454A"/>
    <w:rsid w:val="00C56548"/>
    <w:rsid w:val="00CC41DD"/>
    <w:rsid w:val="00CF20F7"/>
    <w:rsid w:val="00D20D5E"/>
    <w:rsid w:val="00D4474B"/>
    <w:rsid w:val="00D634C6"/>
    <w:rsid w:val="00E112DA"/>
    <w:rsid w:val="00E20299"/>
    <w:rsid w:val="00E84261"/>
    <w:rsid w:val="00E85C66"/>
    <w:rsid w:val="00E90D7E"/>
    <w:rsid w:val="00EB5323"/>
    <w:rsid w:val="00EC6710"/>
    <w:rsid w:val="00ED4C7E"/>
    <w:rsid w:val="00F047E0"/>
    <w:rsid w:val="00F56DF7"/>
    <w:rsid w:val="00F6741A"/>
    <w:rsid w:val="00F8280F"/>
    <w:rsid w:val="00FA6DEE"/>
    <w:rsid w:val="00FC3334"/>
    <w:rsid w:val="00FD527E"/>
    <w:rsid w:val="00FE13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B5852"/>
  <w15:docId w15:val="{737D341B-F968-4F65-8E7E-B4DB33D7A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84261"/>
    <w:pPr>
      <w:tabs>
        <w:tab w:val="center" w:pos="4513"/>
        <w:tab w:val="right" w:pos="9026"/>
      </w:tabs>
    </w:pPr>
  </w:style>
  <w:style w:type="character" w:customStyle="1" w:styleId="HeaderChar">
    <w:name w:val="Header Char"/>
    <w:basedOn w:val="DefaultParagraphFont"/>
    <w:link w:val="Header"/>
    <w:uiPriority w:val="99"/>
    <w:rsid w:val="00E84261"/>
  </w:style>
  <w:style w:type="paragraph" w:styleId="Footer">
    <w:name w:val="footer"/>
    <w:basedOn w:val="Normal"/>
    <w:link w:val="FooterChar"/>
    <w:uiPriority w:val="99"/>
    <w:unhideWhenUsed/>
    <w:rsid w:val="00E84261"/>
    <w:pPr>
      <w:tabs>
        <w:tab w:val="center" w:pos="4513"/>
        <w:tab w:val="right" w:pos="9026"/>
      </w:tabs>
    </w:pPr>
  </w:style>
  <w:style w:type="character" w:customStyle="1" w:styleId="FooterChar">
    <w:name w:val="Footer Char"/>
    <w:basedOn w:val="DefaultParagraphFont"/>
    <w:link w:val="Footer"/>
    <w:uiPriority w:val="99"/>
    <w:rsid w:val="00E84261"/>
  </w:style>
  <w:style w:type="paragraph" w:styleId="Revision">
    <w:name w:val="Revision"/>
    <w:hidden/>
    <w:uiPriority w:val="99"/>
    <w:semiHidden/>
    <w:rsid w:val="003D3C47"/>
  </w:style>
  <w:style w:type="character" w:styleId="CommentReference">
    <w:name w:val="annotation reference"/>
    <w:basedOn w:val="DefaultParagraphFont"/>
    <w:uiPriority w:val="99"/>
    <w:semiHidden/>
    <w:unhideWhenUsed/>
    <w:rsid w:val="003D3C47"/>
    <w:rPr>
      <w:sz w:val="16"/>
      <w:szCs w:val="16"/>
    </w:rPr>
  </w:style>
  <w:style w:type="paragraph" w:styleId="CommentText">
    <w:name w:val="annotation text"/>
    <w:basedOn w:val="Normal"/>
    <w:link w:val="CommentTextChar"/>
    <w:uiPriority w:val="99"/>
    <w:unhideWhenUsed/>
    <w:rsid w:val="003D3C47"/>
  </w:style>
  <w:style w:type="character" w:customStyle="1" w:styleId="CommentTextChar">
    <w:name w:val="Comment Text Char"/>
    <w:basedOn w:val="DefaultParagraphFont"/>
    <w:link w:val="CommentText"/>
    <w:uiPriority w:val="99"/>
    <w:rsid w:val="003D3C47"/>
  </w:style>
  <w:style w:type="paragraph" w:styleId="CommentSubject">
    <w:name w:val="annotation subject"/>
    <w:basedOn w:val="CommentText"/>
    <w:next w:val="CommentText"/>
    <w:link w:val="CommentSubjectChar"/>
    <w:uiPriority w:val="99"/>
    <w:semiHidden/>
    <w:unhideWhenUsed/>
    <w:rsid w:val="003D3C47"/>
    <w:rPr>
      <w:b/>
      <w:bCs/>
    </w:rPr>
  </w:style>
  <w:style w:type="character" w:customStyle="1" w:styleId="CommentSubjectChar">
    <w:name w:val="Comment Subject Char"/>
    <w:basedOn w:val="CommentTextChar"/>
    <w:link w:val="CommentSubject"/>
    <w:uiPriority w:val="99"/>
    <w:semiHidden/>
    <w:rsid w:val="003D3C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1704</Words>
  <Characters>9955</Characters>
  <Application>Microsoft Office Word</Application>
  <DocSecurity>0</DocSecurity>
  <Lines>207</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Rozalija Karchicka-Vasilevska</cp:lastModifiedBy>
  <cp:revision>3</cp:revision>
  <dcterms:created xsi:type="dcterms:W3CDTF">2026-10-27T08:43:00Z</dcterms:created>
  <dcterms:modified xsi:type="dcterms:W3CDTF">2026-10-27T08:44:00Z</dcterms:modified>
</cp:coreProperties>
</file>